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354E8C" w:rsidRPr="00CF679B" w:rsidTr="00354E8C">
        <w:tc>
          <w:tcPr>
            <w:tcW w:w="4553" w:type="dxa"/>
            <w:shd w:val="clear" w:color="auto" w:fill="auto"/>
          </w:tcPr>
          <w:p w:rsidR="00354E8C" w:rsidRPr="00CF679B" w:rsidRDefault="00354E8C" w:rsidP="00354E8C">
            <w:pPr>
              <w:pStyle w:val="10"/>
              <w:keepNext/>
              <w:keepLines/>
              <w:suppressLineNumbers/>
              <w:jc w:val="right"/>
              <w:rPr>
                <w:rFonts w:ascii="PT Astra Serif" w:hAnsi="PT Astra Serif"/>
                <w:sz w:val="28"/>
                <w:szCs w:val="26"/>
                <w:highlight w:val="yellow"/>
              </w:rPr>
            </w:pPr>
          </w:p>
        </w:tc>
        <w:tc>
          <w:tcPr>
            <w:tcW w:w="5760" w:type="dxa"/>
          </w:tcPr>
          <w:p w:rsidR="00354E8C" w:rsidRPr="00F1413B" w:rsidRDefault="006C6A6A" w:rsidP="00B64FBF">
            <w:pPr>
              <w:keepNext/>
              <w:keepLines/>
              <w:widowControl w:val="0"/>
              <w:suppressLineNumbers/>
              <w:suppressAutoHyphens/>
              <w:jc w:val="right"/>
              <w:rPr>
                <w:rFonts w:ascii="PT Astra Serif" w:hAnsi="PT Astra Serif"/>
                <w:sz w:val="24"/>
                <w:szCs w:val="26"/>
              </w:rPr>
            </w:pPr>
            <w:r>
              <w:rPr>
                <w:noProof/>
              </w:rPr>
              <w:drawing>
                <wp:inline distT="0" distB="0" distL="0" distR="0" wp14:anchorId="34DE7A51" wp14:editId="379D1072">
                  <wp:extent cx="2852923" cy="1514104"/>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6702" cy="1521417"/>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502624" w:rsidRPr="00502624" w:rsidRDefault="00502624" w:rsidP="00502624">
      <w:pPr>
        <w:pStyle w:val="10"/>
        <w:keepNext/>
        <w:keepLines/>
        <w:suppressLineNumbers/>
        <w:spacing w:after="0"/>
        <w:jc w:val="center"/>
        <w:rPr>
          <w:rFonts w:ascii="PT Astra Serif" w:hAnsi="PT Astra Serif"/>
          <w:b/>
          <w:bCs/>
        </w:rPr>
      </w:pPr>
      <w:r w:rsidRPr="00502624">
        <w:rPr>
          <w:rFonts w:ascii="PT Astra Serif" w:hAnsi="PT Astra Serif"/>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02624" w:rsidRPr="00502624" w:rsidRDefault="00502624" w:rsidP="00502624">
      <w:pPr>
        <w:pStyle w:val="10"/>
        <w:keepNext/>
        <w:keepLines/>
        <w:suppressLineNumbers/>
        <w:spacing w:after="0"/>
        <w:jc w:val="center"/>
        <w:rPr>
          <w:rFonts w:ascii="PT Astra Serif" w:hAnsi="PT Astra Serif"/>
          <w:b/>
          <w:bCs/>
        </w:rPr>
      </w:pPr>
      <w:r w:rsidRPr="00502624">
        <w:rPr>
          <w:rFonts w:ascii="PT Astra Serif" w:hAnsi="PT Astra Serif"/>
          <w:b/>
          <w:bCs/>
        </w:rPr>
        <w:t xml:space="preserve">на оказание услуг по предоставлению инфраструктуры </w:t>
      </w:r>
    </w:p>
    <w:p w:rsidR="00F2574A" w:rsidRPr="00F1413B" w:rsidRDefault="00502624" w:rsidP="00502624">
      <w:pPr>
        <w:pStyle w:val="10"/>
        <w:keepNext/>
        <w:keepLines/>
        <w:suppressLineNumbers/>
        <w:spacing w:after="0"/>
        <w:jc w:val="center"/>
        <w:rPr>
          <w:rFonts w:ascii="PT Astra Serif" w:hAnsi="PT Astra Serif"/>
          <w:b/>
          <w:bCs/>
        </w:rPr>
      </w:pPr>
      <w:r w:rsidRPr="00502624">
        <w:rPr>
          <w:rFonts w:ascii="PT Astra Serif" w:hAnsi="PT Astra Serif"/>
          <w:b/>
          <w:bCs/>
        </w:rPr>
        <w:t>для размещения веб-сайтов в сети Интернет</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04101A" w:rsidRDefault="0004101A">
      <w:pPr>
        <w:pStyle w:val="10"/>
        <w:keepNext/>
        <w:keepLines/>
        <w:suppressLineNumbers/>
        <w:jc w:val="center"/>
        <w:rPr>
          <w:rFonts w:ascii="PT Astra Serif" w:hAnsi="PT Astra Serif"/>
          <w:b/>
          <w:bCs/>
          <w:sz w:val="22"/>
        </w:rPr>
      </w:pPr>
    </w:p>
    <w:p w:rsidR="00A50649" w:rsidRPr="00F1413B" w:rsidRDefault="00A50649">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890834" w:rsidRDefault="00890834">
      <w:pPr>
        <w:pStyle w:val="10"/>
        <w:keepNext/>
        <w:keepLines/>
        <w:suppressLineNumbers/>
        <w:jc w:val="center"/>
        <w:rPr>
          <w:rFonts w:ascii="PT Astra Serif" w:hAnsi="PT Astra Serif"/>
          <w:b/>
          <w:bCs/>
          <w:sz w:val="22"/>
        </w:rPr>
      </w:pPr>
    </w:p>
    <w:p w:rsidR="00890834" w:rsidRDefault="00890834">
      <w:pPr>
        <w:pStyle w:val="10"/>
        <w:keepNext/>
        <w:keepLines/>
        <w:suppressLineNumbers/>
        <w:jc w:val="center"/>
        <w:rPr>
          <w:rFonts w:ascii="PT Astra Serif" w:hAnsi="PT Astra Serif"/>
          <w:b/>
          <w:bCs/>
          <w:sz w:val="22"/>
        </w:rPr>
      </w:pPr>
    </w:p>
    <w:p w:rsidR="00354E8C" w:rsidRDefault="00354E8C">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985658" w:rsidP="00AE5BEC">
            <w:pPr>
              <w:pStyle w:val="10"/>
              <w:keepNext/>
              <w:keepLines/>
              <w:suppressLineNumbers/>
              <w:spacing w:after="0" w:line="240" w:lineRule="auto"/>
              <w:rPr>
                <w:rFonts w:ascii="PT Astra Serif" w:hAnsi="PT Astra Serif"/>
                <w:sz w:val="28"/>
                <w:szCs w:val="22"/>
              </w:rPr>
            </w:pPr>
            <w:r w:rsidRPr="00985658">
              <w:rPr>
                <w:rFonts w:ascii="PT Astra Serif" w:hAnsi="PT Astra Serif"/>
                <w:sz w:val="28"/>
                <w:szCs w:val="22"/>
              </w:rPr>
              <w:t>213862200236886220100101950016311244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502624"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10256A" w:rsidRDefault="00502624" w:rsidP="00502624">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Pr="00B36D6A">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Pr="00762A45">
              <w:rPr>
                <w:rFonts w:ascii="PT Astra Serif" w:hAnsi="PT Astra Serif"/>
                <w:iCs/>
                <w:color w:val="000099"/>
                <w:sz w:val="22"/>
                <w:szCs w:val="22"/>
              </w:rPr>
              <w:t>предоставлению инфраструктуры для размещения веб-сайтов в сети Интернет</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502624"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10256A" w:rsidRDefault="00502624" w:rsidP="00502624">
            <w:pPr>
              <w:pStyle w:val="10"/>
              <w:spacing w:after="0" w:line="240" w:lineRule="auto"/>
              <w:rPr>
                <w:rFonts w:ascii="PT Astra Serif" w:hAnsi="PT Astra Serif"/>
                <w:color w:val="000099"/>
                <w:sz w:val="22"/>
                <w:szCs w:val="22"/>
              </w:rPr>
            </w:pPr>
            <w:r w:rsidRPr="00762A45">
              <w:rPr>
                <w:rFonts w:ascii="PT Astra Serif" w:hAnsi="PT Astra Serif"/>
                <w:color w:val="000099"/>
                <w:sz w:val="22"/>
                <w:szCs w:val="22"/>
              </w:rPr>
              <w:t>по месту нахождения Исполнителя</w:t>
            </w:r>
          </w:p>
        </w:tc>
      </w:tr>
      <w:tr w:rsidR="00502624" w:rsidRPr="00CF690A" w:rsidTr="00E913E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B45F02" w:rsidRDefault="00502624" w:rsidP="00502624">
            <w:pPr>
              <w:pStyle w:val="10"/>
              <w:spacing w:after="0" w:line="240" w:lineRule="auto"/>
              <w:ind w:left="33"/>
              <w:rPr>
                <w:rFonts w:ascii="PT Astra Serif" w:hAnsi="PT Astra Serif"/>
              </w:rPr>
            </w:pPr>
            <w:r w:rsidRPr="00762A45">
              <w:rPr>
                <w:rFonts w:ascii="PT Astra Serif" w:hAnsi="PT Astra Serif"/>
                <w:color w:val="000099"/>
                <w:sz w:val="22"/>
              </w:rPr>
              <w:t>с момента заключения муниципального контракта, но не ранее 01.01.202</w:t>
            </w:r>
            <w:r>
              <w:rPr>
                <w:rFonts w:ascii="PT Astra Serif" w:hAnsi="PT Astra Serif"/>
                <w:color w:val="000099"/>
                <w:sz w:val="22"/>
              </w:rPr>
              <w:t>2,</w:t>
            </w:r>
            <w:r w:rsidRPr="00762A45">
              <w:rPr>
                <w:rFonts w:ascii="PT Astra Serif" w:hAnsi="PT Astra Serif"/>
                <w:color w:val="000099"/>
                <w:sz w:val="22"/>
              </w:rPr>
              <w:t xml:space="preserve"> по 31.12.202</w:t>
            </w:r>
            <w:r>
              <w:rPr>
                <w:rFonts w:ascii="PT Astra Serif" w:hAnsi="PT Astra Serif"/>
                <w:color w:val="000099"/>
                <w:sz w:val="22"/>
              </w:rPr>
              <w:t>2</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B2035D" w:rsidP="005E2FA8">
            <w:pPr>
              <w:pStyle w:val="10"/>
              <w:spacing w:after="0" w:line="240" w:lineRule="auto"/>
              <w:rPr>
                <w:rFonts w:ascii="PT Astra Serif" w:hAnsi="PT Astra Serif"/>
              </w:rPr>
            </w:pPr>
            <w:r>
              <w:rPr>
                <w:rFonts w:ascii="PT Astra Serif" w:hAnsi="PT Astra Serif"/>
                <w:color w:val="000099"/>
                <w:sz w:val="22"/>
                <w:szCs w:val="22"/>
              </w:rPr>
              <w:t>12</w:t>
            </w:r>
            <w:r w:rsidR="00E913EB">
              <w:rPr>
                <w:rFonts w:ascii="PT Astra Serif" w:hAnsi="PT Astra Serif"/>
                <w:color w:val="000099"/>
                <w:sz w:val="22"/>
                <w:szCs w:val="22"/>
              </w:rPr>
              <w:t>9</w:t>
            </w:r>
            <w:r w:rsidR="00890834">
              <w:rPr>
                <w:rFonts w:ascii="PT Astra Serif" w:hAnsi="PT Astra Serif"/>
                <w:color w:val="000099"/>
                <w:sz w:val="22"/>
                <w:szCs w:val="22"/>
              </w:rPr>
              <w:t xml:space="preserve"> </w:t>
            </w:r>
            <w:r w:rsidR="00E913EB">
              <w:rPr>
                <w:rFonts w:ascii="PT Astra Serif" w:hAnsi="PT Astra Serif"/>
                <w:color w:val="000099"/>
                <w:sz w:val="22"/>
                <w:szCs w:val="22"/>
              </w:rPr>
              <w:t>867</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сто двадцать </w:t>
            </w:r>
            <w:r w:rsidR="00E913EB">
              <w:rPr>
                <w:rFonts w:ascii="PT Astra Serif" w:hAnsi="PT Astra Serif"/>
                <w:color w:val="000099"/>
                <w:sz w:val="22"/>
                <w:szCs w:val="22"/>
              </w:rPr>
              <w:t>девять</w:t>
            </w:r>
            <w:r>
              <w:rPr>
                <w:rFonts w:ascii="PT Astra Serif" w:hAnsi="PT Astra Serif"/>
                <w:color w:val="000099"/>
                <w:sz w:val="22"/>
                <w:szCs w:val="22"/>
              </w:rPr>
              <w:t xml:space="preserve"> тысяч </w:t>
            </w:r>
            <w:r w:rsidR="00E913EB">
              <w:rPr>
                <w:rFonts w:ascii="PT Astra Serif" w:hAnsi="PT Astra Serif"/>
                <w:color w:val="000099"/>
                <w:sz w:val="22"/>
                <w:szCs w:val="22"/>
              </w:rPr>
              <w:t>восемьсот шестьдесят семь</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354E8C" w:rsidP="00E913EB">
            <w:pPr>
              <w:pStyle w:val="10"/>
              <w:spacing w:after="0" w:line="240" w:lineRule="auto"/>
              <w:rPr>
                <w:rFonts w:ascii="PT Astra Serif" w:hAnsi="PT Astra Serif"/>
                <w:i/>
                <w:color w:val="000099"/>
                <w:sz w:val="22"/>
                <w:szCs w:val="22"/>
              </w:rPr>
            </w:pPr>
            <w:r w:rsidRPr="00354E8C">
              <w:rPr>
                <w:rFonts w:ascii="PT Astra Serif" w:hAnsi="PT Astra Serif"/>
                <w:color w:val="000099"/>
                <w:sz w:val="22"/>
                <w:szCs w:val="22"/>
              </w:rPr>
              <w:t>бюджет города Югорска на 202</w:t>
            </w:r>
            <w:r w:rsidR="00E913EB">
              <w:rPr>
                <w:rFonts w:ascii="PT Astra Serif" w:hAnsi="PT Astra Serif"/>
                <w:color w:val="000099"/>
                <w:sz w:val="22"/>
                <w:szCs w:val="22"/>
              </w:rPr>
              <w:t>2</w:t>
            </w:r>
            <w:r w:rsidRPr="00354E8C">
              <w:rPr>
                <w:rFonts w:ascii="PT Astra Serif" w:hAnsi="PT Astra Serif"/>
                <w:color w:val="000099"/>
                <w:sz w:val="22"/>
                <w:szCs w:val="22"/>
              </w:rPr>
              <w:t xml:space="preserve"> год (</w:t>
            </w:r>
            <w:r w:rsidR="00890834" w:rsidRPr="00890834">
              <w:rPr>
                <w:rFonts w:ascii="PT Astra Serif" w:hAnsi="PT Astra Serif"/>
                <w:color w:val="000099"/>
                <w:sz w:val="22"/>
                <w:szCs w:val="22"/>
              </w:rPr>
              <w:t>Муниципальная программа города Югорска «Развитие информационного общества»</w:t>
            </w:r>
            <w:r w:rsidRPr="00354E8C">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634DAA">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917656" w:rsidP="005E2FA8">
            <w:pPr>
              <w:pStyle w:val="3"/>
              <w:numPr>
                <w:ilvl w:val="0"/>
                <w:numId w:val="0"/>
              </w:numPr>
              <w:spacing w:before="0" w:after="0" w:line="240" w:lineRule="auto"/>
              <w:jc w:val="both"/>
              <w:rPr>
                <w:rFonts w:ascii="PT Astra Serif" w:hAnsi="PT Astra Serif" w:cs="Times New Roman"/>
                <w:b w:val="0"/>
                <w:bCs w:val="0"/>
                <w:sz w:val="22"/>
                <w:szCs w:val="22"/>
              </w:rPr>
            </w:pPr>
            <w:r w:rsidRPr="00917656">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0338A4">
              <w:rPr>
                <w:rFonts w:ascii="PT Astra Serif" w:hAnsi="PT Astra Serif"/>
                <w:sz w:val="22"/>
                <w:szCs w:val="22"/>
              </w:rPr>
              <w:t>04</w:t>
            </w:r>
            <w:r w:rsidRPr="00CF690A">
              <w:rPr>
                <w:rFonts w:ascii="PT Astra Serif" w:hAnsi="PT Astra Serif"/>
                <w:sz w:val="22"/>
                <w:szCs w:val="22"/>
              </w:rPr>
              <w:t>» </w:t>
            </w:r>
            <w:r w:rsidR="000338A4">
              <w:rPr>
                <w:rFonts w:ascii="PT Astra Serif" w:hAnsi="PT Astra Serif"/>
                <w:szCs w:val="24"/>
              </w:rPr>
              <w:t xml:space="preserve">декабря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0338A4">
              <w:rPr>
                <w:rFonts w:ascii="PT Astra Serif" w:hAnsi="PT Astra Serif"/>
                <w:sz w:val="22"/>
                <w:szCs w:val="22"/>
              </w:rPr>
              <w:t>06</w:t>
            </w:r>
            <w:r w:rsidRPr="00CF690A">
              <w:rPr>
                <w:rFonts w:ascii="PT Astra Serif" w:hAnsi="PT Astra Serif"/>
                <w:sz w:val="22"/>
                <w:szCs w:val="22"/>
              </w:rPr>
              <w:t>»</w:t>
            </w:r>
            <w:r w:rsidR="000338A4">
              <w:rPr>
                <w:rFonts w:ascii="PT Astra Serif" w:hAnsi="PT Astra Serif"/>
                <w:sz w:val="22"/>
                <w:szCs w:val="22"/>
              </w:rPr>
              <w:t xml:space="preserve">  </w:t>
            </w:r>
            <w:r w:rsidR="000338A4">
              <w:rPr>
                <w:rFonts w:ascii="PT Astra Serif" w:hAnsi="PT Astra Serif"/>
                <w:szCs w:val="24"/>
              </w:rPr>
              <w:t xml:space="preserve">декабря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w:t>
            </w:r>
            <w:bookmarkStart w:id="13" w:name="_GoBack"/>
            <w:bookmarkEnd w:id="13"/>
            <w:r w:rsidRPr="00CF690A">
              <w:rPr>
                <w:rFonts w:ascii="PT Astra Serif" w:hAnsi="PT Astra Serif"/>
                <w:sz w:val="22"/>
                <w:szCs w:val="22"/>
              </w:rPr>
              <w:t>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0338A4">
            <w:pPr>
              <w:pStyle w:val="10"/>
              <w:spacing w:after="0" w:line="240" w:lineRule="auto"/>
              <w:rPr>
                <w:rFonts w:ascii="PT Astra Serif" w:hAnsi="PT Astra Serif"/>
                <w:sz w:val="22"/>
                <w:szCs w:val="22"/>
              </w:rPr>
            </w:pPr>
            <w:r w:rsidRPr="00CF690A">
              <w:rPr>
                <w:rFonts w:ascii="PT Astra Serif" w:hAnsi="PT Astra Serif"/>
                <w:sz w:val="22"/>
                <w:szCs w:val="22"/>
              </w:rPr>
              <w:t>«</w:t>
            </w:r>
            <w:r w:rsidR="000338A4">
              <w:rPr>
                <w:rFonts w:ascii="PT Astra Serif" w:hAnsi="PT Astra Serif"/>
                <w:sz w:val="22"/>
                <w:szCs w:val="22"/>
              </w:rPr>
              <w:t>07</w:t>
            </w:r>
            <w:r w:rsidRPr="00CF690A">
              <w:rPr>
                <w:rFonts w:ascii="PT Astra Serif" w:hAnsi="PT Astra Serif"/>
                <w:sz w:val="22"/>
                <w:szCs w:val="22"/>
              </w:rPr>
              <w:t>» </w:t>
            </w:r>
            <w:r w:rsidR="000338A4">
              <w:rPr>
                <w:rFonts w:ascii="PT Astra Serif" w:hAnsi="PT Astra Serif"/>
                <w:szCs w:val="24"/>
              </w:rPr>
              <w:t xml:space="preserve">декабря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0338A4">
            <w:pPr>
              <w:pStyle w:val="10"/>
              <w:spacing w:after="0" w:line="240" w:lineRule="auto"/>
              <w:rPr>
                <w:rFonts w:ascii="PT Astra Serif" w:hAnsi="PT Astra Serif"/>
                <w:sz w:val="22"/>
                <w:szCs w:val="22"/>
              </w:rPr>
            </w:pPr>
            <w:r w:rsidRPr="00CF690A">
              <w:rPr>
                <w:rFonts w:ascii="PT Astra Serif" w:hAnsi="PT Astra Serif"/>
                <w:sz w:val="22"/>
                <w:szCs w:val="22"/>
              </w:rPr>
              <w:t>«</w:t>
            </w:r>
            <w:r w:rsidR="000338A4">
              <w:rPr>
                <w:rFonts w:ascii="PT Astra Serif" w:hAnsi="PT Astra Serif"/>
                <w:sz w:val="22"/>
                <w:szCs w:val="22"/>
              </w:rPr>
              <w:t>08</w:t>
            </w:r>
            <w:r w:rsidRPr="00CF690A">
              <w:rPr>
                <w:rFonts w:ascii="PT Astra Serif" w:hAnsi="PT Astra Serif"/>
                <w:sz w:val="22"/>
                <w:szCs w:val="22"/>
              </w:rPr>
              <w:t>» </w:t>
            </w:r>
            <w:r w:rsidR="000338A4">
              <w:rPr>
                <w:rFonts w:ascii="PT Astra Serif" w:hAnsi="PT Astra Serif"/>
                <w:szCs w:val="24"/>
              </w:rPr>
              <w:t xml:space="preserve">декабря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CF690A">
              <w:rPr>
                <w:rFonts w:ascii="PT Astra Serif" w:hAnsi="PT Astra Serif"/>
                <w:sz w:val="22"/>
                <w:szCs w:val="22"/>
              </w:rPr>
              <w:t xml:space="preserve">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354E8C">
            <w:pPr>
              <w:ind w:firstLine="340"/>
              <w:jc w:val="both"/>
              <w:rPr>
                <w:rFonts w:ascii="PT Astra Serif" w:hAnsi="PT Astra Serif"/>
                <w:sz w:val="22"/>
                <w:szCs w:val="22"/>
              </w:rPr>
            </w:pPr>
            <w:proofErr w:type="gramStart"/>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890834" w:rsidRPr="00890834">
              <w:rPr>
                <w:rFonts w:ascii="PT Astra Serif" w:hAnsi="PT Astra Serif"/>
                <w:color w:val="000099"/>
                <w:sz w:val="22"/>
                <w:szCs w:val="22"/>
                <w:u w:val="single"/>
              </w:rPr>
              <w:t xml:space="preserve">копия </w:t>
            </w:r>
            <w:r w:rsidR="00455DCA" w:rsidRPr="00455DCA">
              <w:rPr>
                <w:rFonts w:ascii="PT Astra Serif" w:hAnsi="PT Astra Serif"/>
                <w:color w:val="000099"/>
                <w:sz w:val="22"/>
                <w:szCs w:val="22"/>
                <w:u w:val="single"/>
              </w:rPr>
              <w:t xml:space="preserve">лицензии на осуществление деятельности в области оказания услуг связи, либо копия выписки из реестра </w:t>
            </w:r>
            <w:r w:rsidR="00455DCA" w:rsidRPr="00455DCA">
              <w:rPr>
                <w:rFonts w:ascii="PT Astra Serif" w:hAnsi="PT Astra Serif"/>
                <w:color w:val="000099"/>
                <w:sz w:val="22"/>
                <w:szCs w:val="22"/>
                <w:u w:val="single"/>
              </w:rPr>
              <w:lastRenderedPageBreak/>
              <w:t>лицензий по форме, утверждённой постановлением Правительства от 29.12.2020 №2342, либо копии акта лицензирующего органа о принятом решении, содержащие сведения о действующей лицензии</w:t>
            </w:r>
            <w:proofErr w:type="gramEnd"/>
            <w:r w:rsidR="00455DCA" w:rsidRPr="00455DCA">
              <w:rPr>
                <w:rFonts w:ascii="PT Astra Serif" w:hAnsi="PT Astra Serif"/>
                <w:color w:val="000099"/>
                <w:sz w:val="22"/>
                <w:szCs w:val="22"/>
                <w:u w:val="single"/>
              </w:rPr>
              <w:t xml:space="preserve"> на осуществление деятельности в области оказания услуг связи, с указанием в ней следующих разрешённых видов услуг: </w:t>
            </w:r>
            <w:proofErr w:type="spellStart"/>
            <w:r w:rsidR="00455DCA" w:rsidRPr="00455DCA">
              <w:rPr>
                <w:rFonts w:ascii="PT Astra Serif" w:hAnsi="PT Astra Serif"/>
                <w:color w:val="000099"/>
                <w:sz w:val="22"/>
                <w:szCs w:val="22"/>
                <w:u w:val="single"/>
              </w:rPr>
              <w:t>телематические</w:t>
            </w:r>
            <w:proofErr w:type="spellEnd"/>
            <w:r w:rsidR="00455DCA" w:rsidRPr="00455DCA">
              <w:rPr>
                <w:rFonts w:ascii="PT Astra Serif" w:hAnsi="PT Astra Serif"/>
                <w:color w:val="000099"/>
                <w:sz w:val="22"/>
                <w:szCs w:val="22"/>
                <w:u w:val="single"/>
              </w:rPr>
              <w:t xml:space="preserve"> услуги</w:t>
            </w:r>
            <w:r w:rsidR="00E913EB">
              <w:rPr>
                <w:rFonts w:ascii="PT Astra Serif" w:hAnsi="PT Astra Serif"/>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w:t>
            </w:r>
            <w:r w:rsidRPr="00CF690A">
              <w:rPr>
                <w:rFonts w:ascii="PT Astra Serif" w:hAnsi="PT Astra Serif"/>
                <w:sz w:val="22"/>
                <w:szCs w:val="22"/>
              </w:rPr>
              <w:lastRenderedPageBreak/>
              <w:t>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890834" w:rsidRDefault="0010256A" w:rsidP="00890834">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 xml:space="preserve">документы, предусмотренные нормативными правовыми актами, принятыми в соответствии со статьёй 14 Федерального закона </w:t>
            </w:r>
            <w:r w:rsidR="001714DF" w:rsidRPr="00CF690A">
              <w:rPr>
                <w:rFonts w:ascii="PT Astra Serif" w:hAnsi="PT Astra Serif"/>
                <w:sz w:val="22"/>
                <w:szCs w:val="22"/>
              </w:rPr>
              <w:lastRenderedPageBreak/>
              <w:t>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354E8C" w:rsidRPr="00B36D6A">
              <w:rPr>
                <w:rFonts w:ascii="PT Astra Serif" w:hAnsi="PT Astra Serif"/>
                <w:b/>
                <w:color w:val="000099"/>
                <w:sz w:val="22"/>
                <w:szCs w:val="22"/>
                <w:u w:val="single"/>
              </w:rPr>
              <w:t xml:space="preserve"> </w:t>
            </w:r>
            <w:r w:rsidR="00E913EB" w:rsidRPr="00B36D6A">
              <w:rPr>
                <w:rFonts w:ascii="PT Astra Serif" w:hAnsi="PT Astra Serif"/>
                <w:b/>
                <w:color w:val="000099"/>
                <w:sz w:val="22"/>
                <w:szCs w:val="22"/>
                <w:u w:val="single"/>
              </w:rPr>
              <w:t>не требуется;</w:t>
            </w:r>
          </w:p>
          <w:p w:rsidR="00124F3B" w:rsidRPr="00CF690A" w:rsidRDefault="0010256A" w:rsidP="00E913E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E913E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13EB" w:rsidRPr="00CF690A" w:rsidRDefault="00E913EB" w:rsidP="00E913E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13EB" w:rsidRPr="00CF690A" w:rsidRDefault="00E913EB" w:rsidP="00E913E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закупки вправе подать только одну заявку на участие в электронном аукционе.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E913EB"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67D9">
              <w:rPr>
                <w:rFonts w:ascii="PT Astra Serif" w:hAnsi="PT Astra Serif"/>
                <w:color w:val="auto"/>
                <w:sz w:val="22"/>
                <w:szCs w:val="22"/>
              </w:rPr>
              <w:t>заполненного</w:t>
            </w:r>
            <w:proofErr w:type="gramEnd"/>
            <w:r w:rsidRPr="009767D9">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
          <w:p w:rsidR="00E913EB" w:rsidRPr="009767D9" w:rsidRDefault="00E913EB" w:rsidP="00E913EB">
            <w:pPr>
              <w:pStyle w:val="10"/>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 xml:space="preserve">Инструкция по заполнению первой части заявки </w:t>
            </w:r>
          </w:p>
          <w:p w:rsidR="00E913EB" w:rsidRPr="009767D9" w:rsidRDefault="00E913EB" w:rsidP="00E913EB">
            <w:pPr>
              <w:pStyle w:val="10"/>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на участие в аукционе в электронной форме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913EB"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w:t>
            </w:r>
            <w:r w:rsidRPr="009767D9">
              <w:rPr>
                <w:rFonts w:ascii="PT Astra Serif" w:hAnsi="PT Astra Serif"/>
                <w:color w:val="auto"/>
                <w:sz w:val="22"/>
                <w:szCs w:val="22"/>
              </w:rPr>
              <w:lastRenderedPageBreak/>
              <w:t>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913EB" w:rsidRPr="009767D9" w:rsidRDefault="00E913EB" w:rsidP="00E913EB">
            <w:pPr>
              <w:pStyle w:val="10"/>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 «конкретные значения»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менее», «не ниже» - участником предоставляется значение равное или превышающее указанное;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более», «не выше» - участником предоставляется значение равное или менее </w:t>
            </w:r>
            <w:proofErr w:type="gramStart"/>
            <w:r w:rsidRPr="009767D9">
              <w:rPr>
                <w:rFonts w:ascii="PT Astra Serif" w:hAnsi="PT Astra Serif"/>
                <w:color w:val="auto"/>
                <w:sz w:val="22"/>
                <w:szCs w:val="22"/>
              </w:rPr>
              <w:t>указанного</w:t>
            </w:r>
            <w:proofErr w:type="gramEnd"/>
            <w:r w:rsidRPr="009767D9">
              <w:rPr>
                <w:rFonts w:ascii="PT Astra Serif" w:hAnsi="PT Astra Serif"/>
                <w:color w:val="auto"/>
                <w:sz w:val="22"/>
                <w:szCs w:val="22"/>
              </w:rPr>
              <w:t xml:space="preserve">;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«менее», «ниже» - участником предоставляется значение меньше указанного;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«более», «выше», «свыше» - участником предоставляется значение превышающее указанное;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 участником предоставляется указанное значение или превышающее его;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w:t>
            </w:r>
            <w:proofErr w:type="gramStart"/>
            <w:r w:rsidRPr="009767D9">
              <w:rPr>
                <w:rFonts w:ascii="PT Astra Serif" w:hAnsi="PT Astra Serif"/>
                <w:color w:val="auto"/>
                <w:sz w:val="22"/>
                <w:szCs w:val="22"/>
              </w:rPr>
              <w:t>от</w:t>
            </w:r>
            <w:proofErr w:type="gramEnd"/>
            <w:r w:rsidRPr="009767D9">
              <w:rPr>
                <w:rFonts w:ascii="PT Astra Serif" w:hAnsi="PT Astra Serif"/>
                <w:color w:val="auto"/>
                <w:sz w:val="22"/>
                <w:szCs w:val="22"/>
              </w:rPr>
              <w:t xml:space="preserve">… до…» - </w:t>
            </w:r>
            <w:proofErr w:type="gramStart"/>
            <w:r w:rsidRPr="009767D9">
              <w:rPr>
                <w:rFonts w:ascii="PT Astra Serif" w:hAnsi="PT Astra Serif"/>
                <w:color w:val="auto"/>
                <w:sz w:val="22"/>
                <w:szCs w:val="22"/>
              </w:rPr>
              <w:t>участником</w:t>
            </w:r>
            <w:proofErr w:type="gramEnd"/>
            <w:r w:rsidRPr="009767D9">
              <w:rPr>
                <w:rFonts w:ascii="PT Astra Serif" w:hAnsi="PT Astra Serif"/>
                <w:color w:val="auto"/>
                <w:sz w:val="22"/>
                <w:szCs w:val="22"/>
              </w:rPr>
              <w:t xml:space="preserve"> предоставляется одно конкретное значение в рамках значений;</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(например - погрешность) - участником предоставляется конкретное значение с указанием знака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участником предоставляется конкретное значение в рамках значений;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xml:space="preserve">- знака «&lt;» - участником предоставляется конкретное значение менее указанного, «&lt;=» - равное или менее указанного; </w:t>
            </w:r>
            <w:proofErr w:type="gramEnd"/>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равное или менее правого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менее правого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В случае применение заказчиком в техническом задании перечисления значений показателя через союз «и», знаки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и союзов «или», «либо» участник указывает все значения показателя до союза «или», «либо» или значение </w:t>
            </w:r>
            <w:r w:rsidRPr="009767D9">
              <w:rPr>
                <w:rFonts w:ascii="PT Astra Serif" w:hAnsi="PT Astra Serif"/>
                <w:color w:val="auto"/>
                <w:sz w:val="22"/>
                <w:szCs w:val="22"/>
              </w:rPr>
              <w:lastRenderedPageBreak/>
              <w:t>указанное после союза «или», «либо» (например: 1, 2, 3 или 4; участник предлагает: вариант1 – 1, 2, 3; вариант 2 – 4).</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913EB" w:rsidRPr="009767D9" w:rsidRDefault="00E913EB" w:rsidP="00E913EB">
            <w:pPr>
              <w:pStyle w:val="10"/>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II «диапазонные значения»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применения заказчиком в техническом задании при описании диапазона:</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w:t>
            </w:r>
          </w:p>
          <w:p w:rsidR="00E913EB" w:rsidRPr="009767D9" w:rsidRDefault="00E913EB" w:rsidP="00E913EB">
            <w:pPr>
              <w:pStyle w:val="10"/>
              <w:spacing w:after="0" w:line="240" w:lineRule="auto"/>
              <w:ind w:firstLine="340"/>
              <w:jc w:val="both"/>
              <w:rPr>
                <w:rFonts w:ascii="PT Astra Serif" w:hAnsi="PT Astra Serif"/>
                <w:color w:val="auto"/>
                <w:sz w:val="22"/>
                <w:szCs w:val="22"/>
                <w:u w:val="single"/>
              </w:rPr>
            </w:pPr>
            <w:r w:rsidRPr="009767D9">
              <w:rPr>
                <w:rFonts w:ascii="PT Astra Serif" w:hAnsi="PT Astra Serif"/>
                <w:color w:val="auto"/>
                <w:sz w:val="22"/>
                <w:szCs w:val="22"/>
              </w:rPr>
              <w:t xml:space="preserve"> </w:t>
            </w:r>
            <w:r w:rsidRPr="009767D9">
              <w:rPr>
                <w:rFonts w:ascii="PT Astra Serif" w:hAnsi="PT Astra Serif"/>
                <w:color w:val="auto"/>
                <w:sz w:val="22"/>
                <w:szCs w:val="22"/>
                <w:u w:val="single"/>
              </w:rPr>
              <w:t>Раздел III «общие сведения»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характеристики товара содержатся в колонке «Значения показателей, которые не могут изменяться (</w:t>
            </w:r>
            <w:proofErr w:type="gramStart"/>
            <w:r w:rsidRPr="009767D9">
              <w:rPr>
                <w:rFonts w:ascii="PT Astra Serif" w:hAnsi="PT Astra Serif"/>
                <w:color w:val="auto"/>
                <w:sz w:val="22"/>
                <w:szCs w:val="22"/>
              </w:rPr>
              <w:t>неизменяемое</w:t>
            </w:r>
            <w:proofErr w:type="gramEnd"/>
            <w:r w:rsidRPr="009767D9">
              <w:rPr>
                <w:rFonts w:ascii="PT Astra Serif" w:hAnsi="PT Astra Serif"/>
                <w:color w:val="auto"/>
                <w:sz w:val="22"/>
                <w:szCs w:val="22"/>
              </w:rPr>
              <w:t xml:space="preserve">)» – участник не вправе изменять указанные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предложение с описанием характеристик товара сопровождается термином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включительно.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767D9">
              <w:rPr>
                <w:rFonts w:ascii="PT Astra Serif" w:hAnsi="PT Astra Serif"/>
                <w:color w:val="auto"/>
                <w:sz w:val="22"/>
                <w:szCs w:val="22"/>
              </w:rPr>
              <w:t>.»</w:t>
            </w:r>
            <w:proofErr w:type="gramEnd"/>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«Шкаф металлический» участник в своей заявке должен указать: «Шкаф металлический».</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xml:space="preserve">При предоставлении участниками конкретных значений показателей необходимо исключить употребление слов и </w:t>
            </w:r>
            <w:r w:rsidRPr="009767D9">
              <w:rPr>
                <w:rFonts w:ascii="PT Astra Serif" w:hAnsi="PT Astra Serif"/>
                <w:color w:val="auto"/>
                <w:sz w:val="22"/>
                <w:szCs w:val="22"/>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767D9">
              <w:rPr>
                <w:rFonts w:ascii="PT Astra Serif" w:hAnsi="PT Astra Serif"/>
                <w:color w:val="auto"/>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xml:space="preserve">)».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E913EB" w:rsidRPr="00BF290C" w:rsidRDefault="00E913EB" w:rsidP="00E913EB">
            <w:pPr>
              <w:pStyle w:val="10"/>
              <w:spacing w:after="0" w:line="240" w:lineRule="auto"/>
              <w:ind w:firstLine="340"/>
              <w:jc w:val="both"/>
              <w:rPr>
                <w:rFonts w:ascii="PT Astra Serif" w:hAnsi="PT Astra Serif"/>
                <w:sz w:val="22"/>
                <w:szCs w:val="22"/>
              </w:rPr>
            </w:pPr>
            <w:r w:rsidRPr="009767D9">
              <w:rPr>
                <w:rFonts w:ascii="PT Astra Serif" w:hAnsi="PT Astra Serif"/>
                <w:color w:val="auto"/>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17" w:name="_Ref166566393"/>
            <w:bookmarkStart w:id="18" w:name="_Ref166314817"/>
            <w:bookmarkEnd w:id="17"/>
            <w:bookmarkEnd w:id="1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19" w:name="_Ref1665663931"/>
            <w:bookmarkStart w:id="20" w:name="_Ref166566297"/>
            <w:bookmarkEnd w:id="19"/>
            <w:bookmarkEnd w:id="20"/>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E913EB" w:rsidRPr="00E913EB">
              <w:rPr>
                <w:rFonts w:ascii="PT Astra Serif" w:hAnsi="PT Astra Serif"/>
                <w:color w:val="000099"/>
                <w:sz w:val="22"/>
                <w:szCs w:val="22"/>
              </w:rPr>
              <w:t>1 298 (одна тысяча двести девяносто восемь) рублей 67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1"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2" w:name="_Ref166315159"/>
            <w:bookmarkEnd w:id="2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CF690A">
              <w:rPr>
                <w:rFonts w:ascii="PT Astra Serif" w:hAnsi="PT Astra Serif"/>
                <w:sz w:val="22"/>
                <w:szCs w:val="22"/>
              </w:rPr>
              <w:lastRenderedPageBreak/>
              <w:t>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lastRenderedPageBreak/>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3" w:name="_Ref166337491"/>
            <w:bookmarkStart w:id="24" w:name="_Ref166315600"/>
            <w:bookmarkStart w:id="25" w:name="_Ref166315233"/>
            <w:bookmarkEnd w:id="23"/>
            <w:bookmarkEnd w:id="24"/>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E913EB" w:rsidRPr="00E913E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6" w:name="_Ref166350695"/>
            <w:bookmarkEnd w:id="26"/>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lastRenderedPageBreak/>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27" w:name="_Ref166350767"/>
            <w:bookmarkStart w:id="28"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29" w:name="p2868"/>
            <w:bookmarkEnd w:id="28"/>
            <w:bookmarkEnd w:id="29"/>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1" w:name="_Ref166315737"/>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90834" w:rsidRPr="00E43DC3" w:rsidRDefault="00890834" w:rsidP="00890834">
            <w:pPr>
              <w:widowControl w:val="0"/>
              <w:tabs>
                <w:tab w:val="left" w:pos="709"/>
              </w:tabs>
              <w:suppressAutoHyphens/>
              <w:rPr>
                <w:rFonts w:ascii="PT Astra Serif" w:hAnsi="PT Astra Serif"/>
                <w:color w:val="00000A"/>
                <w:sz w:val="22"/>
                <w:szCs w:val="22"/>
              </w:rPr>
            </w:pPr>
            <w:r w:rsidRPr="00E43DC3">
              <w:rPr>
                <w:rFonts w:ascii="PT Astra Serif" w:hAnsi="PT Astra Serif"/>
                <w:color w:val="00000A"/>
                <w:sz w:val="22"/>
                <w:szCs w:val="22"/>
              </w:rPr>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Югорска (Администрация города Югорска, 05873030170), ИНН 8622002368, КПП 862201001.</w:t>
            </w:r>
          </w:p>
          <w:p w:rsidR="00890834" w:rsidRDefault="00890834" w:rsidP="00890834">
            <w:pPr>
              <w:widowControl w:val="0"/>
              <w:tabs>
                <w:tab w:val="left" w:pos="709"/>
              </w:tabs>
              <w:suppressAutoHyphens/>
              <w:jc w:val="both"/>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D91FE3" w:rsidRPr="00AF6BF1" w:rsidRDefault="00F12074" w:rsidP="00890834">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proofErr w:type="gramStart"/>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E913EB" w:rsidRPr="00E913EB">
              <w:rPr>
                <w:rFonts w:ascii="PT Astra Serif" w:hAnsi="PT Astra Serif"/>
                <w:color w:val="000099"/>
                <w:sz w:val="22"/>
                <w:szCs w:val="22"/>
              </w:rPr>
              <w:t>по предоставлению инфраструктуры для размещения</w:t>
            </w:r>
            <w:proofErr w:type="gramEnd"/>
            <w:r w:rsidR="00E913EB" w:rsidRPr="00E913EB">
              <w:rPr>
                <w:rFonts w:ascii="PT Astra Serif" w:hAnsi="PT Astra Serif"/>
                <w:color w:val="000099"/>
                <w:sz w:val="22"/>
                <w:szCs w:val="22"/>
              </w:rPr>
              <w:t xml:space="preserve"> веб-сайтов в сети Интернет»</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Обеспечение гарантийных </w:t>
            </w:r>
            <w:r w:rsidRPr="00CF690A">
              <w:rPr>
                <w:rFonts w:ascii="PT Astra Serif" w:hAnsi="PT Astra Serif"/>
                <w:sz w:val="22"/>
                <w:szCs w:val="22"/>
              </w:rPr>
              <w:lastRenderedPageBreak/>
              <w:t>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lastRenderedPageBreak/>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2" w:name="_Ref166340053"/>
            <w:bookmarkEnd w:id="3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3" w:name="_Ref177795013"/>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CF690A">
              <w:rPr>
                <w:rFonts w:ascii="PT Astra Serif" w:hAnsi="PT Astra Serif"/>
                <w:sz w:val="22"/>
                <w:szCs w:val="22"/>
              </w:rPr>
              <w:lastRenderedPageBreak/>
              <w:t>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917656" w:rsidRDefault="00726522" w:rsidP="00726522">
            <w:pPr>
              <w:autoSpaceDE w:val="0"/>
              <w:autoSpaceDN w:val="0"/>
              <w:adjustRightInd w:val="0"/>
              <w:ind w:firstLine="340"/>
              <w:jc w:val="both"/>
              <w:rPr>
                <w:rFonts w:ascii="PT Astra Serif" w:hAnsi="PT Astra Serif"/>
                <w:b/>
                <w:color w:val="C00000"/>
                <w:sz w:val="22"/>
                <w:szCs w:val="22"/>
              </w:rPr>
            </w:pPr>
            <w:r w:rsidRPr="00726522">
              <w:rPr>
                <w:rFonts w:ascii="PT Astra Serif" w:hAnsi="PT Astra Serif"/>
                <w:sz w:val="22"/>
                <w:szCs w:val="22"/>
              </w:rPr>
              <w:lastRenderedPageBreak/>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913EB" w:rsidRPr="00E913EB">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w:t>
            </w:r>
            <w:r w:rsidRPr="00726522">
              <w:rPr>
                <w:rFonts w:ascii="PT Astra Serif" w:hAnsi="PT Astra Serif"/>
                <w:sz w:val="22"/>
                <w:szCs w:val="22"/>
              </w:rPr>
              <w:lastRenderedPageBreak/>
              <w:t xml:space="preserve">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w:t>
            </w:r>
            <w:r w:rsidRPr="00CF690A">
              <w:rPr>
                <w:rFonts w:ascii="PT Astra Serif" w:hAnsi="PT Astra Serif" w:cs="Times New Roman"/>
                <w:sz w:val="22"/>
                <w:szCs w:val="22"/>
              </w:rPr>
              <w:lastRenderedPageBreak/>
              <w:t>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CF690A">
              <w:rPr>
                <w:rFonts w:ascii="PT Astra Serif" w:hAnsi="PT Astra Serif" w:cs="Times New Roman"/>
                <w:sz w:val="22"/>
                <w:szCs w:val="22"/>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60" w:rsidRDefault="008C7560">
      <w:r>
        <w:separator/>
      </w:r>
    </w:p>
  </w:endnote>
  <w:endnote w:type="continuationSeparator" w:id="0">
    <w:p w:rsidR="008C7560" w:rsidRDefault="008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0338A4">
          <w:rPr>
            <w:noProof/>
          </w:rPr>
          <w:t>6</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60" w:rsidRDefault="008C7560">
      <w:r>
        <w:separator/>
      </w:r>
    </w:p>
  </w:footnote>
  <w:footnote w:type="continuationSeparator" w:id="0">
    <w:p w:rsidR="008C7560" w:rsidRDefault="008C7560">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38A4"/>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1FFC"/>
    <w:rsid w:val="000C3645"/>
    <w:rsid w:val="000C5019"/>
    <w:rsid w:val="000C64AF"/>
    <w:rsid w:val="000D3542"/>
    <w:rsid w:val="000D6AFA"/>
    <w:rsid w:val="000E2408"/>
    <w:rsid w:val="000E5322"/>
    <w:rsid w:val="000E7EDB"/>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B303A"/>
    <w:rsid w:val="001C0999"/>
    <w:rsid w:val="001C3F7F"/>
    <w:rsid w:val="001D3581"/>
    <w:rsid w:val="00201057"/>
    <w:rsid w:val="00206DB6"/>
    <w:rsid w:val="0021670B"/>
    <w:rsid w:val="002227DC"/>
    <w:rsid w:val="00223387"/>
    <w:rsid w:val="00225FD7"/>
    <w:rsid w:val="0025389E"/>
    <w:rsid w:val="0026174D"/>
    <w:rsid w:val="00261A89"/>
    <w:rsid w:val="0026552C"/>
    <w:rsid w:val="00272139"/>
    <w:rsid w:val="00296EFC"/>
    <w:rsid w:val="002B41E5"/>
    <w:rsid w:val="002B7DE1"/>
    <w:rsid w:val="002C673C"/>
    <w:rsid w:val="002C7FD0"/>
    <w:rsid w:val="002D068C"/>
    <w:rsid w:val="002F42C5"/>
    <w:rsid w:val="00334660"/>
    <w:rsid w:val="00342F00"/>
    <w:rsid w:val="0034750C"/>
    <w:rsid w:val="00354BB5"/>
    <w:rsid w:val="00354E8C"/>
    <w:rsid w:val="00366661"/>
    <w:rsid w:val="003742B4"/>
    <w:rsid w:val="00391001"/>
    <w:rsid w:val="0039231D"/>
    <w:rsid w:val="00392E76"/>
    <w:rsid w:val="003951E0"/>
    <w:rsid w:val="00396178"/>
    <w:rsid w:val="0039629A"/>
    <w:rsid w:val="003A1F1C"/>
    <w:rsid w:val="003A7CFD"/>
    <w:rsid w:val="003B089C"/>
    <w:rsid w:val="003B23A6"/>
    <w:rsid w:val="003C33C0"/>
    <w:rsid w:val="003C6043"/>
    <w:rsid w:val="003F0827"/>
    <w:rsid w:val="003F08A6"/>
    <w:rsid w:val="003F570D"/>
    <w:rsid w:val="0042067A"/>
    <w:rsid w:val="00427429"/>
    <w:rsid w:val="0043778A"/>
    <w:rsid w:val="004440B7"/>
    <w:rsid w:val="00446E09"/>
    <w:rsid w:val="0044717D"/>
    <w:rsid w:val="00455DCA"/>
    <w:rsid w:val="00476BAE"/>
    <w:rsid w:val="00480EA8"/>
    <w:rsid w:val="004962E4"/>
    <w:rsid w:val="004A42FA"/>
    <w:rsid w:val="004A7558"/>
    <w:rsid w:val="004C3828"/>
    <w:rsid w:val="004D507F"/>
    <w:rsid w:val="004E0BF7"/>
    <w:rsid w:val="004E15E2"/>
    <w:rsid w:val="004F70F1"/>
    <w:rsid w:val="00502624"/>
    <w:rsid w:val="0051158D"/>
    <w:rsid w:val="00535A83"/>
    <w:rsid w:val="00542DCF"/>
    <w:rsid w:val="00555706"/>
    <w:rsid w:val="00566044"/>
    <w:rsid w:val="00566D18"/>
    <w:rsid w:val="00567EF5"/>
    <w:rsid w:val="005721EE"/>
    <w:rsid w:val="005824AA"/>
    <w:rsid w:val="005A71C3"/>
    <w:rsid w:val="005B2353"/>
    <w:rsid w:val="005B4590"/>
    <w:rsid w:val="005B5009"/>
    <w:rsid w:val="005B52BB"/>
    <w:rsid w:val="005B704B"/>
    <w:rsid w:val="005C5AE1"/>
    <w:rsid w:val="005D0417"/>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34DAA"/>
    <w:rsid w:val="00642227"/>
    <w:rsid w:val="00645171"/>
    <w:rsid w:val="0065008C"/>
    <w:rsid w:val="0065498E"/>
    <w:rsid w:val="00670849"/>
    <w:rsid w:val="00674C62"/>
    <w:rsid w:val="0068634A"/>
    <w:rsid w:val="006A00FF"/>
    <w:rsid w:val="006A4A5A"/>
    <w:rsid w:val="006A5B49"/>
    <w:rsid w:val="006C6A6A"/>
    <w:rsid w:val="006C7C03"/>
    <w:rsid w:val="006F183E"/>
    <w:rsid w:val="006F4CE5"/>
    <w:rsid w:val="006F54AF"/>
    <w:rsid w:val="006F694D"/>
    <w:rsid w:val="0070383A"/>
    <w:rsid w:val="00703E21"/>
    <w:rsid w:val="0070522A"/>
    <w:rsid w:val="00714E02"/>
    <w:rsid w:val="007153A6"/>
    <w:rsid w:val="00724DAD"/>
    <w:rsid w:val="00726522"/>
    <w:rsid w:val="00735F18"/>
    <w:rsid w:val="00753A5D"/>
    <w:rsid w:val="00762052"/>
    <w:rsid w:val="00765FD7"/>
    <w:rsid w:val="00786D2B"/>
    <w:rsid w:val="007A0323"/>
    <w:rsid w:val="007A3D3C"/>
    <w:rsid w:val="007A40CC"/>
    <w:rsid w:val="007A666C"/>
    <w:rsid w:val="007B5A81"/>
    <w:rsid w:val="007C7869"/>
    <w:rsid w:val="007D438B"/>
    <w:rsid w:val="007E0ACF"/>
    <w:rsid w:val="007F3B4D"/>
    <w:rsid w:val="007F5BD6"/>
    <w:rsid w:val="007F69A7"/>
    <w:rsid w:val="00811B68"/>
    <w:rsid w:val="00812495"/>
    <w:rsid w:val="00814E69"/>
    <w:rsid w:val="00833CB5"/>
    <w:rsid w:val="00840908"/>
    <w:rsid w:val="00845AA3"/>
    <w:rsid w:val="0086000C"/>
    <w:rsid w:val="00860616"/>
    <w:rsid w:val="00862260"/>
    <w:rsid w:val="00865AEB"/>
    <w:rsid w:val="0087224B"/>
    <w:rsid w:val="00890834"/>
    <w:rsid w:val="00890A9F"/>
    <w:rsid w:val="00890B82"/>
    <w:rsid w:val="00894E9D"/>
    <w:rsid w:val="008A44F0"/>
    <w:rsid w:val="008B26DC"/>
    <w:rsid w:val="008B5A41"/>
    <w:rsid w:val="008C0493"/>
    <w:rsid w:val="008C0B3E"/>
    <w:rsid w:val="008C44DB"/>
    <w:rsid w:val="008C7560"/>
    <w:rsid w:val="008D69EF"/>
    <w:rsid w:val="008F23E1"/>
    <w:rsid w:val="008F50F1"/>
    <w:rsid w:val="008F6CA8"/>
    <w:rsid w:val="0090525A"/>
    <w:rsid w:val="00905F87"/>
    <w:rsid w:val="00906B12"/>
    <w:rsid w:val="0091036C"/>
    <w:rsid w:val="00912157"/>
    <w:rsid w:val="00914479"/>
    <w:rsid w:val="009174AB"/>
    <w:rsid w:val="00917656"/>
    <w:rsid w:val="0093667B"/>
    <w:rsid w:val="0095084E"/>
    <w:rsid w:val="00962A45"/>
    <w:rsid w:val="00963824"/>
    <w:rsid w:val="009767B7"/>
    <w:rsid w:val="00981320"/>
    <w:rsid w:val="00985658"/>
    <w:rsid w:val="00993BCC"/>
    <w:rsid w:val="009951B3"/>
    <w:rsid w:val="009A49D1"/>
    <w:rsid w:val="009A58CF"/>
    <w:rsid w:val="009B6A00"/>
    <w:rsid w:val="009F1CEF"/>
    <w:rsid w:val="00A072E3"/>
    <w:rsid w:val="00A13B60"/>
    <w:rsid w:val="00A15666"/>
    <w:rsid w:val="00A160D8"/>
    <w:rsid w:val="00A21438"/>
    <w:rsid w:val="00A23FEA"/>
    <w:rsid w:val="00A4035C"/>
    <w:rsid w:val="00A4742A"/>
    <w:rsid w:val="00A47DB7"/>
    <w:rsid w:val="00A50649"/>
    <w:rsid w:val="00A62568"/>
    <w:rsid w:val="00A66EDA"/>
    <w:rsid w:val="00A67137"/>
    <w:rsid w:val="00A71795"/>
    <w:rsid w:val="00A74D4A"/>
    <w:rsid w:val="00A75828"/>
    <w:rsid w:val="00AA794F"/>
    <w:rsid w:val="00AB74E0"/>
    <w:rsid w:val="00AC2433"/>
    <w:rsid w:val="00AD351A"/>
    <w:rsid w:val="00AD6D23"/>
    <w:rsid w:val="00AE5BEC"/>
    <w:rsid w:val="00AF6BF1"/>
    <w:rsid w:val="00AF7D14"/>
    <w:rsid w:val="00B0586E"/>
    <w:rsid w:val="00B14AE4"/>
    <w:rsid w:val="00B2035D"/>
    <w:rsid w:val="00B26925"/>
    <w:rsid w:val="00B31219"/>
    <w:rsid w:val="00B442DA"/>
    <w:rsid w:val="00B44F4C"/>
    <w:rsid w:val="00B45F02"/>
    <w:rsid w:val="00B473AB"/>
    <w:rsid w:val="00B534A3"/>
    <w:rsid w:val="00B54AF8"/>
    <w:rsid w:val="00B55497"/>
    <w:rsid w:val="00B55790"/>
    <w:rsid w:val="00B56481"/>
    <w:rsid w:val="00B638D2"/>
    <w:rsid w:val="00B64FBF"/>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096C"/>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37359"/>
    <w:rsid w:val="00D41E2F"/>
    <w:rsid w:val="00D50406"/>
    <w:rsid w:val="00D74737"/>
    <w:rsid w:val="00D8140B"/>
    <w:rsid w:val="00D81747"/>
    <w:rsid w:val="00D90167"/>
    <w:rsid w:val="00D91FE3"/>
    <w:rsid w:val="00D96ABB"/>
    <w:rsid w:val="00DB745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913EB"/>
    <w:rsid w:val="00EB09C6"/>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CE0B-6984-4A62-943E-7809CFDC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5311</TotalTime>
  <Pages>20</Pages>
  <Words>8367</Words>
  <Characters>47692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596</cp:revision>
  <cp:lastPrinted>2021-07-14T09:18:00Z</cp:lastPrinted>
  <dcterms:created xsi:type="dcterms:W3CDTF">2014-12-14T06:51:00Z</dcterms:created>
  <dcterms:modified xsi:type="dcterms:W3CDTF">2021-11-24T11:31:00Z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