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D7" w:rsidRDefault="008F00D7" w:rsidP="008F00D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8F00D7" w:rsidRDefault="008F00D7" w:rsidP="008F00D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8F00D7" w:rsidRDefault="008F00D7" w:rsidP="008F00D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8F00D7" w:rsidRDefault="008F00D7" w:rsidP="008F00D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8F00D7" w:rsidRDefault="008F00D7" w:rsidP="008F00D7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№ 0187300005818000533</w:t>
      </w:r>
      <w:r>
        <w:rPr>
          <w:rFonts w:ascii="PT Astra Serif" w:hAnsi="PT Astra Serif" w:cs="Times New Roman"/>
          <w:sz w:val="24"/>
          <w:szCs w:val="24"/>
        </w:rPr>
        <w:t>-3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8F00D7" w:rsidRP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8F00D7">
        <w:rPr>
          <w:rFonts w:ascii="PT Astra Serif" w:hAnsi="PT Astra Serif" w:cs="Times New Roman"/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 6».</w:t>
      </w:r>
    </w:p>
    <w:p w:rsidR="008F00D7" w:rsidRP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8F00D7">
        <w:rPr>
          <w:rFonts w:ascii="PT Astra Serif" w:hAnsi="PT Astra Serif" w:cs="Times New Roman"/>
          <w:sz w:val="24"/>
          <w:szCs w:val="24"/>
        </w:rPr>
        <w:t>Наименование аукциона: аукцион в электронной форме № 0187300005818000533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овощей, фруктов, овощных консервов.</w:t>
      </w:r>
    </w:p>
    <w:p w:rsidR="008F00D7" w:rsidRP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8F00D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8F00D7">
          <w:rPr>
            <w:rFonts w:ascii="PT Astra Serif" w:hAnsi="PT Astra Serif"/>
          </w:rPr>
          <w:t>http://zakupki.gov.ru/</w:t>
        </w:r>
      </w:hyperlink>
      <w:r w:rsidRPr="008F00D7">
        <w:rPr>
          <w:rFonts w:ascii="PT Astra Serif" w:hAnsi="PT Astra Serif" w:cs="Times New Roman"/>
          <w:sz w:val="24"/>
          <w:szCs w:val="24"/>
        </w:rPr>
        <w:t xml:space="preserve">, код аукциона 018730000581800033, дата публикации 28.12.2018. </w:t>
      </w:r>
    </w:p>
    <w:p w:rsidR="008F00D7" w:rsidRP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8F00D7">
        <w:rPr>
          <w:rFonts w:ascii="PT Astra Serif" w:hAnsi="PT Astra Serif" w:cs="Times New Roman"/>
          <w:sz w:val="24"/>
          <w:szCs w:val="24"/>
        </w:rPr>
        <w:t>Идентификационный код закупки: 183862200926886220100100630090000000.</w:t>
      </w:r>
    </w:p>
    <w:p w:rsidR="008F00D7" w:rsidRP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8F00D7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8F00D7">
        <w:rPr>
          <w:rFonts w:ascii="PT Astra Serif" w:hAnsi="PT Astra Serif" w:cs="Times New Roman"/>
          <w:sz w:val="24"/>
          <w:szCs w:val="24"/>
        </w:rPr>
        <w:t>Почтовый адрес: 628260, Ханты - Мансийский автономный округ - Югра, Тюменская об</w:t>
      </w:r>
      <w:r w:rsidRPr="008F00D7">
        <w:rPr>
          <w:rFonts w:ascii="PT Astra Serif" w:hAnsi="PT Astra Serif" w:cs="Times New Roman"/>
          <w:sz w:val="24"/>
          <w:szCs w:val="24"/>
        </w:rPr>
        <w:t xml:space="preserve">л., г. </w:t>
      </w:r>
      <w:proofErr w:type="spellStart"/>
      <w:r w:rsidRPr="008F00D7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8F00D7">
        <w:rPr>
          <w:rFonts w:ascii="PT Astra Serif" w:hAnsi="PT Astra Serif" w:cs="Times New Roman"/>
          <w:sz w:val="24"/>
          <w:szCs w:val="24"/>
        </w:rPr>
        <w:t>,  ул. Ермака, д.7</w:t>
      </w:r>
      <w:r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8F00D7" w:rsidRDefault="008F00D7" w:rsidP="008F00D7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8F00D7" w:rsidTr="008F00D7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8F00D7" w:rsidTr="008F00D7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 w:rsidP="008F00D7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 w:rsidP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3995"/>
            </w:tblGrid>
            <w:tr w:rsidR="008F00D7" w:rsidRPr="008F00D7">
              <w:trPr>
                <w:trHeight w:val="439"/>
              </w:trPr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8F00D7" w:rsidRPr="008F00D7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>1397627.92</w:t>
                  </w:r>
                </w:p>
              </w:tc>
            </w:tr>
            <w:tr w:rsidR="008F00D7" w:rsidRPr="008F00D7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>862202982579</w:t>
                  </w:r>
                </w:p>
              </w:tc>
            </w:tr>
            <w:tr w:rsidR="008F00D7" w:rsidRPr="008F00D7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</w:p>
              </w:tc>
            </w:tr>
            <w:tr w:rsidR="008F00D7" w:rsidRPr="008F00D7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Югорск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 xml:space="preserve"> г,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8F00D7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8F00D7">
                    <w:rPr>
                      <w:rFonts w:ascii="PT Astra Serif" w:eastAsia="Times New Roman" w:hAnsi="PT Astra Serif"/>
                    </w:rPr>
                    <w:t>аежная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>, д.82</w:t>
                  </w:r>
                </w:p>
              </w:tc>
            </w:tr>
            <w:tr w:rsidR="008F00D7" w:rsidRPr="008F00D7">
              <w:tc>
                <w:tcPr>
                  <w:tcW w:w="1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3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Югорск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 xml:space="preserve"> г,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8F00D7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8F00D7">
                    <w:rPr>
                      <w:rFonts w:ascii="PT Astra Serif" w:eastAsia="Times New Roman" w:hAnsi="PT Astra Serif"/>
                    </w:rPr>
                    <w:t>аежная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>, д.82</w:t>
                  </w:r>
                </w:p>
              </w:tc>
            </w:tr>
          </w:tbl>
          <w:p w:rsidR="008F00D7" w:rsidRPr="008F00D7" w:rsidRDefault="008F00D7" w:rsidP="008F00D7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 w:rsidP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397</w:t>
            </w:r>
            <w:r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627.92</w:t>
            </w:r>
          </w:p>
        </w:tc>
      </w:tr>
      <w:tr w:rsidR="008F00D7" w:rsidTr="008F00D7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 w:rsidP="008F00D7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 w:rsidP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8F00D7" w:rsidRPr="008F00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8F00D7" w:rsidRPr="008F00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>1408921.00</w:t>
                  </w:r>
                </w:p>
              </w:tc>
            </w:tr>
            <w:tr w:rsidR="008F00D7" w:rsidRPr="008F00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>6658516476</w:t>
                  </w:r>
                </w:p>
              </w:tc>
            </w:tr>
            <w:tr w:rsidR="008F00D7" w:rsidRPr="008F00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8F00D7" w:rsidRPr="008F00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8F00D7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8F00D7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8F00D7" w:rsidRPr="008F00D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00D7" w:rsidRPr="008F00D7" w:rsidRDefault="008F00D7" w:rsidP="008F00D7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00D7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8F00D7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8F00D7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8F00D7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8F00D7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</w:tbl>
          <w:p w:rsidR="008F00D7" w:rsidRPr="008F00D7" w:rsidRDefault="008F00D7" w:rsidP="008F00D7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0D7" w:rsidRDefault="008F00D7" w:rsidP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408</w:t>
            </w:r>
            <w:r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921.00</w:t>
            </w:r>
          </w:p>
        </w:tc>
      </w:tr>
    </w:tbl>
    <w:p w:rsidR="008F00D7" w:rsidRDefault="008F00D7" w:rsidP="008F00D7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8F00D7" w:rsidRDefault="008F00D7" w:rsidP="008F00D7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8F00D7">
        <w:rPr>
          <w:rFonts w:ascii="PT Astra Serif" w:hAnsi="PT Astra Serif" w:cs="Times New Roman"/>
          <w:sz w:val="24"/>
          <w:szCs w:val="24"/>
        </w:rPr>
        <w:t xml:space="preserve">Индивидуальный предприниматель Ходжаев </w:t>
      </w:r>
      <w:proofErr w:type="spellStart"/>
      <w:r w:rsidRPr="008F00D7">
        <w:rPr>
          <w:rFonts w:ascii="PT Astra Serif" w:hAnsi="PT Astra Serif" w:cs="Times New Roman"/>
          <w:sz w:val="24"/>
          <w:szCs w:val="24"/>
        </w:rPr>
        <w:t>Давлатхужа</w:t>
      </w:r>
      <w:proofErr w:type="spellEnd"/>
      <w:r w:rsidRPr="008F00D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8F00D7">
        <w:rPr>
          <w:rFonts w:ascii="PT Astra Serif" w:hAnsi="PT Astra Serif" w:cs="Times New Roman"/>
          <w:sz w:val="24"/>
          <w:szCs w:val="24"/>
        </w:rPr>
        <w:t>Ахмадович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8F00D7" w:rsidRDefault="008F00D7" w:rsidP="008F00D7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8F00D7">
        <w:rPr>
          <w:rFonts w:ascii="PT Astra Serif" w:hAnsi="PT Astra Serif" w:cs="Times New Roman"/>
          <w:sz w:val="24"/>
          <w:szCs w:val="24"/>
        </w:rPr>
        <w:t>Общество с ограниченной ответственностью "ИСТОК"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8F00D7" w:rsidRDefault="008F00D7" w:rsidP="008F00D7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Pr="008F00D7">
        <w:rPr>
          <w:rFonts w:ascii="PT Astra Serif" w:hAnsi="PT Astra Serif" w:cs="Times New Roman"/>
          <w:sz w:val="24"/>
          <w:szCs w:val="24"/>
        </w:rPr>
        <w:t xml:space="preserve">Индивидуальный предприниматель Ходжаев </w:t>
      </w:r>
      <w:proofErr w:type="spellStart"/>
      <w:r w:rsidRPr="008F00D7">
        <w:rPr>
          <w:rFonts w:ascii="PT Astra Serif" w:hAnsi="PT Astra Serif" w:cs="Times New Roman"/>
          <w:sz w:val="24"/>
          <w:szCs w:val="24"/>
        </w:rPr>
        <w:t>Давлатхужа</w:t>
      </w:r>
      <w:proofErr w:type="spellEnd"/>
      <w:r w:rsidRPr="008F00D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8F00D7">
        <w:rPr>
          <w:rFonts w:ascii="PT Astra Serif" w:hAnsi="PT Astra Serif" w:cs="Times New Roman"/>
          <w:sz w:val="24"/>
          <w:szCs w:val="24"/>
        </w:rPr>
        <w:t>Ахмадович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Pr="008F00D7">
        <w:rPr>
          <w:rFonts w:ascii="PT Astra Serif" w:hAnsi="PT Astra Serif" w:cs="Times New Roman"/>
          <w:sz w:val="24"/>
          <w:szCs w:val="24"/>
        </w:rPr>
        <w:t>1 397 627.92</w:t>
      </w:r>
      <w:r>
        <w:rPr>
          <w:rFonts w:ascii="PT Astra Serif" w:hAnsi="PT Astra Serif" w:cs="Times New Roman"/>
          <w:sz w:val="24"/>
          <w:szCs w:val="24"/>
        </w:rPr>
        <w:t xml:space="preserve"> рублей. </w:t>
      </w:r>
    </w:p>
    <w:p w:rsidR="008F00D7" w:rsidRPr="008F00D7" w:rsidRDefault="008F00D7" w:rsidP="008F00D7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F00D7" w:rsidRDefault="008F00D7" w:rsidP="008F00D7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 w:cs="Times New Roman"/>
          <w:sz w:val="24"/>
          <w:szCs w:val="24"/>
        </w:rPr>
        <w:t>.</w:t>
      </w:r>
    </w:p>
    <w:p w:rsidR="008F00D7" w:rsidRDefault="008F00D7" w:rsidP="008F00D7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8F00D7" w:rsidRDefault="008F00D7" w:rsidP="008F00D7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8F00D7" w:rsidRDefault="008F00D7" w:rsidP="008F00D7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 xml:space="preserve">Мое решение о соответствии (несоответствии) заявки участника закупки требованиям, </w:t>
            </w: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8F00D7" w:rsidTr="008F00D7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D7" w:rsidRDefault="008F00D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D7" w:rsidRDefault="008F00D7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8F00D7" w:rsidRDefault="008F00D7" w:rsidP="008F00D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8F00D7" w:rsidRDefault="008F00D7" w:rsidP="008F00D7">
      <w:pPr>
        <w:spacing w:after="0" w:line="240" w:lineRule="auto"/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8F00D7" w:rsidRDefault="008F00D7" w:rsidP="008F00D7">
      <w:pPr>
        <w:spacing w:after="0" w:line="240" w:lineRule="auto"/>
        <w:ind w:left="284"/>
        <w:jc w:val="both"/>
        <w:rPr>
          <w:rFonts w:ascii="PT Astra Serif" w:eastAsia="Times New Roman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8F00D7" w:rsidRDefault="008F00D7" w:rsidP="008F00D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8F00D7" w:rsidRDefault="008F00D7" w:rsidP="008F00D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8F00D7" w:rsidRDefault="008F00D7" w:rsidP="008F00D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8F00D7" w:rsidRDefault="008F00D7" w:rsidP="008F00D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8F00D7" w:rsidRDefault="008F00D7" w:rsidP="008F00D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8F00D7" w:rsidRDefault="008F00D7" w:rsidP="008F00D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 А.Т. Абдуллаев </w:t>
      </w:r>
    </w:p>
    <w:p w:rsidR="008F00D7" w:rsidRDefault="008F00D7" w:rsidP="008F00D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8F00D7" w:rsidRDefault="008F00D7" w:rsidP="008F00D7">
      <w:pPr>
        <w:spacing w:after="0" w:line="240" w:lineRule="auto"/>
        <w:ind w:left="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</w:t>
      </w:r>
    </w:p>
    <w:p w:rsidR="008F00D7" w:rsidRDefault="008F00D7" w:rsidP="008F00D7">
      <w:pPr>
        <w:spacing w:after="0" w:line="240" w:lineRule="auto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color w:val="FF0000"/>
          <w:sz w:val="24"/>
          <w:szCs w:val="24"/>
        </w:rPr>
        <w:t xml:space="preserve">   </w:t>
      </w:r>
    </w:p>
    <w:p w:rsidR="008F00D7" w:rsidRDefault="008F00D7" w:rsidP="008F00D7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Представитель заказчика                                                                    ________________</w:t>
      </w:r>
      <w:r>
        <w:rPr>
          <w:rFonts w:ascii="PT Astra Serif" w:hAnsi="PT Astra Serif" w:cs="Times New Roman"/>
          <w:sz w:val="24"/>
          <w:szCs w:val="24"/>
        </w:rPr>
        <w:t>Н.Н. Белинская</w:t>
      </w:r>
    </w:p>
    <w:p w:rsidR="00DC6D5B" w:rsidRDefault="00DC6D5B"/>
    <w:p w:rsidR="005F0578" w:rsidRDefault="005F0578"/>
    <w:p w:rsidR="005F0578" w:rsidRDefault="005F0578"/>
    <w:p w:rsidR="005F0578" w:rsidRDefault="005F0578"/>
    <w:p w:rsidR="005F0578" w:rsidRDefault="005F0578"/>
    <w:p w:rsidR="005F0578" w:rsidRDefault="005F0578"/>
    <w:p w:rsidR="005F0578" w:rsidRDefault="005F0578"/>
    <w:p w:rsidR="005F0578" w:rsidRDefault="005F0578"/>
    <w:p w:rsidR="005F0578" w:rsidRDefault="005F0578"/>
    <w:p w:rsidR="004E4889" w:rsidRDefault="004E4889" w:rsidP="004E4889">
      <w:pPr>
        <w:spacing w:after="0" w:line="240" w:lineRule="auto"/>
        <w:ind w:hanging="426"/>
        <w:jc w:val="right"/>
        <w:rPr>
          <w:rFonts w:ascii="PT Astra Serif" w:hAnsi="PT Astra Serif" w:cs="Times New Roman"/>
        </w:rPr>
        <w:sectPr w:rsidR="004E4889" w:rsidSect="005F0578">
          <w:pgSz w:w="11906" w:h="16838"/>
          <w:pgMar w:top="284" w:right="424" w:bottom="284" w:left="426" w:header="708" w:footer="708" w:gutter="0"/>
          <w:cols w:space="708"/>
          <w:docGrid w:linePitch="360"/>
        </w:sectPr>
      </w:pPr>
    </w:p>
    <w:p w:rsidR="004E4889" w:rsidRPr="004E4889" w:rsidRDefault="004E4889" w:rsidP="004E4889">
      <w:pPr>
        <w:spacing w:after="0" w:line="240" w:lineRule="auto"/>
        <w:ind w:hanging="426"/>
        <w:jc w:val="right"/>
        <w:rPr>
          <w:rFonts w:ascii="PT Astra Serif" w:hAnsi="PT Astra Serif" w:cs="Times New Roman"/>
        </w:rPr>
      </w:pPr>
      <w:r w:rsidRPr="004E4889">
        <w:rPr>
          <w:rFonts w:ascii="PT Astra Serif" w:hAnsi="PT Astra Serif" w:cs="Times New Roman"/>
        </w:rPr>
        <w:lastRenderedPageBreak/>
        <w:t xml:space="preserve">Приложение </w:t>
      </w:r>
    </w:p>
    <w:p w:rsidR="004E4889" w:rsidRPr="004E4889" w:rsidRDefault="004E4889" w:rsidP="004E4889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 w:cs="Times New Roman"/>
        </w:rPr>
      </w:pPr>
      <w:r w:rsidRPr="004E4889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E4889" w:rsidRPr="004E4889" w:rsidRDefault="004E4889" w:rsidP="004E4889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 w:cs="Times New Roman"/>
        </w:rPr>
      </w:pPr>
      <w:r w:rsidRPr="004E4889">
        <w:rPr>
          <w:rFonts w:ascii="PT Astra Serif" w:hAnsi="PT Astra Serif" w:cs="Times New Roman"/>
        </w:rPr>
        <w:t xml:space="preserve"> аукциона в электронной форме</w:t>
      </w:r>
    </w:p>
    <w:p w:rsidR="004E4889" w:rsidRPr="004E4889" w:rsidRDefault="004E4889" w:rsidP="004E4889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 w:cs="Times New Roman"/>
        </w:rPr>
      </w:pPr>
      <w:r w:rsidRPr="004E4889">
        <w:rPr>
          <w:rFonts w:ascii="PT Astra Serif" w:hAnsi="PT Astra Serif" w:cs="Times New Roman"/>
        </w:rPr>
        <w:t xml:space="preserve">от «22» января  2019  г. </w:t>
      </w:r>
      <w:r w:rsidRPr="004E4889">
        <w:rPr>
          <w:rFonts w:ascii="PT Astra Serif" w:hAnsi="PT Astra Serif" w:cs="Times New Roman"/>
          <w:color w:val="000000"/>
        </w:rPr>
        <w:t>0187300005818000533</w:t>
      </w:r>
      <w:r w:rsidRPr="004E4889">
        <w:rPr>
          <w:rFonts w:ascii="PT Astra Serif" w:hAnsi="PT Astra Serif" w:cs="Times New Roman"/>
        </w:rPr>
        <w:t>-3</w:t>
      </w:r>
    </w:p>
    <w:p w:rsidR="004E4889" w:rsidRPr="004E4889" w:rsidRDefault="004E4889" w:rsidP="004E488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4E4889">
        <w:rPr>
          <w:rFonts w:ascii="PT Astra Serif" w:hAnsi="PT Astra Serif"/>
          <w:sz w:val="22"/>
          <w:szCs w:val="22"/>
        </w:rPr>
        <w:t>Таблица подведения итогов  аукциона в электронной форме</w:t>
      </w:r>
    </w:p>
    <w:p w:rsidR="004E4889" w:rsidRPr="004E4889" w:rsidRDefault="004E4889" w:rsidP="004E4889">
      <w:pPr>
        <w:spacing w:after="0" w:line="240" w:lineRule="auto"/>
        <w:jc w:val="center"/>
        <w:rPr>
          <w:rFonts w:ascii="PT Astra Serif" w:hAnsi="PT Astra Serif" w:cs="Times New Roman"/>
        </w:rPr>
      </w:pPr>
      <w:r w:rsidRPr="004E4889">
        <w:rPr>
          <w:rFonts w:ascii="PT Astra Serif" w:hAnsi="PT Astra Serif" w:cs="Times New Roman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Pr="004E4889">
        <w:rPr>
          <w:rFonts w:ascii="PT Astra Serif" w:hAnsi="PT Astra Serif" w:cs="Times New Roman"/>
          <w:color w:val="000000"/>
        </w:rPr>
        <w:t>овощей, фруктов, овощных консервов</w:t>
      </w:r>
    </w:p>
    <w:p w:rsidR="004E4889" w:rsidRPr="004E4889" w:rsidRDefault="004E4889" w:rsidP="004E4889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</w:rPr>
      </w:pPr>
      <w:r w:rsidRPr="004E4889">
        <w:rPr>
          <w:rFonts w:ascii="PT Astra Serif" w:hAnsi="PT Astra Serif" w:cs="Times New Roman"/>
        </w:rPr>
        <w:t>Заказчик: Муниципальное бюджетное общеобразовательное учреждение «Средняя общеобразовательная школа №6».</w:t>
      </w:r>
    </w:p>
    <w:tbl>
      <w:tblPr>
        <w:tblW w:w="1630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  <w:gridCol w:w="3829"/>
        <w:gridCol w:w="1843"/>
        <w:gridCol w:w="1843"/>
      </w:tblGrid>
      <w:tr w:rsidR="004E4889" w:rsidRPr="004E4889" w:rsidTr="004E4889">
        <w:trPr>
          <w:trHeight w:val="174"/>
        </w:trPr>
        <w:tc>
          <w:tcPr>
            <w:tcW w:w="1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Идентификационный номер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Заявка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Заявка № 101</w:t>
            </w:r>
          </w:p>
        </w:tc>
      </w:tr>
      <w:tr w:rsidR="004E4889" w:rsidRPr="004E4889" w:rsidTr="004E4889">
        <w:trPr>
          <w:trHeight w:val="47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Показатель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4E4889">
              <w:rPr>
                <w:rFonts w:ascii="PT Astra Serif" w:hAnsi="PT Astra Serif" w:cs="Times New Roman"/>
                <w:bCs/>
                <w:color w:val="000000"/>
              </w:rPr>
              <w:t xml:space="preserve">Индивидуальный предприниматель </w:t>
            </w:r>
          </w:p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Cs/>
                <w:color w:val="000000"/>
              </w:rPr>
            </w:pPr>
            <w:r w:rsidRPr="004E4889">
              <w:rPr>
                <w:rFonts w:ascii="PT Astra Serif" w:hAnsi="PT Astra Serif" w:cs="Times New Roman"/>
                <w:bCs/>
                <w:color w:val="000000"/>
              </w:rPr>
              <w:t xml:space="preserve">Ходжаев </w:t>
            </w:r>
          </w:p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proofErr w:type="spellStart"/>
            <w:r w:rsidRPr="004E4889">
              <w:rPr>
                <w:rFonts w:ascii="PT Astra Serif" w:hAnsi="PT Astra Serif" w:cs="Times New Roman"/>
                <w:bCs/>
                <w:color w:val="000000"/>
              </w:rPr>
              <w:t>Давлатхужа</w:t>
            </w:r>
            <w:proofErr w:type="spellEnd"/>
          </w:p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proofErr w:type="spellStart"/>
            <w:r w:rsidRPr="004E4889">
              <w:rPr>
                <w:rFonts w:ascii="PT Astra Serif" w:hAnsi="PT Astra Serif" w:cs="Times New Roman"/>
                <w:bCs/>
                <w:color w:val="000000"/>
              </w:rPr>
              <w:t>Ахмадович</w:t>
            </w:r>
            <w:proofErr w:type="spellEnd"/>
          </w:p>
          <w:p w:rsidR="004E4889" w:rsidRPr="004E4889" w:rsidRDefault="004E4889" w:rsidP="004E4889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4E4889">
              <w:rPr>
                <w:rFonts w:ascii="PT Astra Serif" w:hAnsi="PT Astra Serif" w:cs="Times New Roman"/>
                <w:bCs/>
                <w:color w:val="000000"/>
              </w:rPr>
              <w:t xml:space="preserve">             г. </w:t>
            </w:r>
            <w:proofErr w:type="spellStart"/>
            <w:r w:rsidRPr="004E4889">
              <w:rPr>
                <w:rFonts w:ascii="PT Astra Serif" w:hAnsi="PT Astra Serif" w:cs="Times New Roman"/>
                <w:bCs/>
                <w:color w:val="000000"/>
              </w:rPr>
              <w:t>Югорск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4E4889">
              <w:rPr>
                <w:rFonts w:ascii="PT Astra Serif" w:hAnsi="PT Astra Serif" w:cs="Times New Roman"/>
                <w:bCs/>
                <w:color w:val="000000"/>
              </w:rPr>
              <w:t>Общество с ограниченной ответственностью</w:t>
            </w:r>
          </w:p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Cs/>
                <w:color w:val="000000"/>
              </w:rPr>
            </w:pPr>
            <w:r w:rsidRPr="004E4889">
              <w:rPr>
                <w:rFonts w:ascii="PT Astra Serif" w:hAnsi="PT Astra Serif" w:cs="Times New Roman"/>
                <w:bCs/>
                <w:color w:val="000000"/>
              </w:rPr>
              <w:t xml:space="preserve"> «ИСТОК», </w:t>
            </w:r>
          </w:p>
          <w:p w:rsidR="004E4889" w:rsidRPr="004E4889" w:rsidRDefault="004E4889" w:rsidP="004E488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  <w:bCs/>
                <w:color w:val="000000"/>
              </w:rPr>
              <w:t>г. Екатеринбург</w:t>
            </w:r>
          </w:p>
        </w:tc>
      </w:tr>
      <w:tr w:rsidR="004E4889" w:rsidRPr="004E4889" w:rsidTr="004E4889">
        <w:trPr>
          <w:trHeight w:val="51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1. </w:t>
            </w:r>
            <w:proofErr w:type="spell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Непроведение</w:t>
            </w:r>
            <w:proofErr w:type="spell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ликвидации участника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закупки -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закупки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несостоятельным (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>банкротом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)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</w:tr>
      <w:tr w:rsidR="004E4889" w:rsidRPr="004E4889" w:rsidTr="004E4889">
        <w:trPr>
          <w:trHeight w:val="4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2. </w:t>
            </w:r>
            <w:proofErr w:type="spell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Неприостановление</w:t>
            </w:r>
            <w:proofErr w:type="spell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деятельности участника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закупки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в порядке,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установленном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</w:tr>
      <w:tr w:rsidR="004E4889" w:rsidRPr="004E4889" w:rsidTr="004E488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3. </w:t>
            </w:r>
            <w:proofErr w:type="gram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обязанностизаявителяпо</w:t>
            </w:r>
            <w:proofErr w:type="spellEnd"/>
            <w:proofErr w:type="gram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proofErr w:type="gram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указанных</w:t>
            </w:r>
            <w:proofErr w:type="gram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</w:tr>
      <w:tr w:rsidR="004E4889" w:rsidRPr="004E4889" w:rsidTr="004E488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4. </w:t>
            </w:r>
            <w:proofErr w:type="gram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</w:tr>
      <w:tr w:rsidR="004E4889" w:rsidRPr="004E4889" w:rsidTr="004E4889">
        <w:trPr>
          <w:trHeight w:val="74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</w:tc>
      </w:tr>
      <w:tr w:rsidR="004E4889" w:rsidRPr="004E4889" w:rsidTr="004E4889">
        <w:trPr>
          <w:trHeight w:val="4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6.  </w:t>
            </w:r>
            <w:proofErr w:type="gram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унитарногопредприятиялибо</w:t>
            </w:r>
            <w:proofErr w:type="spellEnd"/>
            <w:proofErr w:type="gram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proofErr w:type="gram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lastRenderedPageBreak/>
              <w:t xml:space="preserve">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E4889">
              <w:rPr>
                <w:rFonts w:ascii="PT Astra Serif" w:hAnsi="PT Astra Serif" w:cs="Times New Roman"/>
                <w:sz w:val="16"/>
                <w:szCs w:val="16"/>
              </w:rPr>
              <w:t>неполнородными</w:t>
            </w:r>
            <w:proofErr w:type="spell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4E4889" w:rsidRPr="004E4889" w:rsidTr="004E4889">
        <w:trPr>
          <w:trHeight w:val="2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lastRenderedPageBreak/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информация</w:t>
            </w:r>
          </w:p>
          <w:p w:rsidR="004E4889" w:rsidRPr="004E4889" w:rsidRDefault="004E4889" w:rsidP="004E4889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продекларирована</w:t>
            </w:r>
          </w:p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4E4889" w:rsidRPr="004E4889" w:rsidTr="004E4889">
        <w:trPr>
          <w:trHeight w:val="2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4E4889" w:rsidRPr="004E4889" w:rsidRDefault="004E4889" w:rsidP="004E488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не принадлежит</w:t>
            </w:r>
          </w:p>
        </w:tc>
      </w:tr>
      <w:tr w:rsidR="004E4889" w:rsidRPr="004E4889" w:rsidTr="004E4889">
        <w:trPr>
          <w:trHeight w:val="42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закупки – юридическом лице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,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в том числе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сведений об учредителях,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о</w:t>
            </w:r>
            <w:r w:rsidRPr="004E4889">
              <w:rPr>
                <w:rFonts w:ascii="PT Astra Serif" w:hAnsi="PT Astra Serif" w:cs="Times New Roman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E4889">
              <w:rPr>
                <w:rFonts w:ascii="PT Astra Serif" w:hAnsi="PT Astra Serif" w:cs="Times New Roman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отсутствие</w:t>
            </w:r>
          </w:p>
          <w:p w:rsidR="004E4889" w:rsidRPr="004E4889" w:rsidRDefault="004E4889" w:rsidP="004E488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  <w:color w:val="000000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  <w:color w:val="000000"/>
              </w:rPr>
              <w:t>информация отсутствует</w:t>
            </w:r>
          </w:p>
        </w:tc>
      </w:tr>
      <w:tr w:rsidR="004E4889" w:rsidRPr="004E4889" w:rsidTr="004E4889">
        <w:trPr>
          <w:trHeight w:val="30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в полном объеме</w:t>
            </w:r>
          </w:p>
        </w:tc>
      </w:tr>
      <w:tr w:rsidR="004E4889" w:rsidRPr="004E4889" w:rsidTr="004E4889">
        <w:trPr>
          <w:trHeight w:val="390"/>
        </w:trPr>
        <w:tc>
          <w:tcPr>
            <w:tcW w:w="1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</w:rPr>
            </w:pPr>
            <w:r w:rsidRPr="004E4889">
              <w:rPr>
                <w:rFonts w:ascii="PT Astra Serif" w:hAnsi="PT Astra Serif" w:cs="Times New Roman"/>
              </w:rPr>
              <w:t xml:space="preserve">11. Начальная (максимальная) цена договора </w:t>
            </w:r>
            <w:r w:rsidRPr="004E4889">
              <w:rPr>
                <w:rStyle w:val="es-el-amount"/>
                <w:rFonts w:ascii="PT Astra Serif" w:hAnsi="PT Astra Serif" w:cs="Times New Roman"/>
                <w:b/>
                <w:color w:val="000000"/>
              </w:rPr>
              <w:t>2 258 616</w:t>
            </w:r>
            <w:r w:rsidRPr="004E4889">
              <w:rPr>
                <w:rFonts w:ascii="PT Astra Serif" w:hAnsi="PT Astra Serif" w:cs="Times New Roman"/>
                <w:color w:val="000000"/>
              </w:rPr>
              <w:t>  </w:t>
            </w:r>
            <w:r w:rsidRPr="004E4889">
              <w:rPr>
                <w:rFonts w:ascii="PT Astra Serif" w:hAnsi="PT Astra Serif" w:cs="Times New Roman"/>
                <w:b/>
              </w:rPr>
              <w:t>рублей 20 к</w:t>
            </w:r>
            <w:r w:rsidRPr="004E4889">
              <w:rPr>
                <w:rFonts w:ascii="PT Astra Serif" w:hAnsi="PT Astra Serif" w:cs="Times New Roman"/>
                <w:b/>
                <w:bCs/>
              </w:rPr>
              <w:t>опейки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</w:tc>
      </w:tr>
      <w:tr w:rsidR="004E4889" w:rsidRPr="004E4889" w:rsidTr="004E4889">
        <w:tc>
          <w:tcPr>
            <w:tcW w:w="1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12. Предложенная цена договора, рублей.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4E4889">
              <w:rPr>
                <w:rFonts w:ascii="PT Astra Serif" w:hAnsi="PT Astra Serif" w:cs="Times New Roman"/>
                <w:b/>
                <w:color w:val="000000"/>
              </w:rPr>
              <w:t>1 397 627,92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4E4889">
              <w:rPr>
                <w:rFonts w:ascii="PT Astra Serif" w:hAnsi="PT Astra Serif" w:cs="Times New Roman"/>
                <w:b/>
                <w:color w:val="000000"/>
              </w:rPr>
              <w:t>1 408 921,00</w:t>
            </w:r>
          </w:p>
        </w:tc>
      </w:tr>
      <w:tr w:rsidR="004E4889" w:rsidRPr="004E4889" w:rsidTr="004E4889">
        <w:trPr>
          <w:trHeight w:val="259"/>
        </w:trPr>
        <w:tc>
          <w:tcPr>
            <w:tcW w:w="1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</w:rPr>
            </w:pPr>
            <w:r w:rsidRPr="004E4889">
              <w:rPr>
                <w:rFonts w:ascii="PT Astra Serif" w:hAnsi="PT Astra Serif" w:cs="Times New Roman"/>
              </w:rPr>
              <w:t>13. Номер по ранжированию по итогам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4E4889">
              <w:rPr>
                <w:rFonts w:ascii="PT Astra Serif" w:hAnsi="PT Astra Serif" w:cs="Times New Roman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89" w:rsidRPr="004E4889" w:rsidRDefault="004E4889" w:rsidP="004E4889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4E4889">
              <w:rPr>
                <w:rFonts w:ascii="PT Astra Serif" w:hAnsi="PT Astra Serif" w:cs="Times New Roman"/>
                <w:b/>
                <w:bCs/>
              </w:rPr>
              <w:t>2</w:t>
            </w:r>
          </w:p>
        </w:tc>
      </w:tr>
    </w:tbl>
    <w:p w:rsidR="004E4889" w:rsidRDefault="004E4889">
      <w:pPr>
        <w:sectPr w:rsidR="004E4889" w:rsidSect="004E4889">
          <w:pgSz w:w="16838" w:h="11906" w:orient="landscape"/>
          <w:pgMar w:top="425" w:right="284" w:bottom="425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5F0578" w:rsidRDefault="005F0578"/>
    <w:p w:rsidR="005F0578" w:rsidRDefault="005F0578"/>
    <w:p w:rsidR="005F0578" w:rsidRDefault="005F0578"/>
    <w:p w:rsidR="005F0578" w:rsidRDefault="005F0578"/>
    <w:p w:rsidR="005F0578" w:rsidRDefault="005F0578"/>
    <w:sectPr w:rsidR="005F0578" w:rsidSect="005F05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E1"/>
    <w:rsid w:val="004E4889"/>
    <w:rsid w:val="005F0578"/>
    <w:rsid w:val="00823F29"/>
    <w:rsid w:val="008F00D7"/>
    <w:rsid w:val="00BB75D2"/>
    <w:rsid w:val="00DC6D5B"/>
    <w:rsid w:val="00EA79E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00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E48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4E488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-el-amount">
    <w:name w:val="es-el-amount"/>
    <w:basedOn w:val="a0"/>
    <w:rsid w:val="004E4889"/>
  </w:style>
  <w:style w:type="table" w:styleId="a6">
    <w:name w:val="Table Grid"/>
    <w:basedOn w:val="a1"/>
    <w:uiPriority w:val="59"/>
    <w:rsid w:val="004E48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00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E48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4E488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-el-amount">
    <w:name w:val="es-el-amount"/>
    <w:basedOn w:val="a0"/>
    <w:rsid w:val="004E4889"/>
  </w:style>
  <w:style w:type="table" w:styleId="a6">
    <w:name w:val="Table Grid"/>
    <w:basedOn w:val="a1"/>
    <w:uiPriority w:val="59"/>
    <w:rsid w:val="004E48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2019-01-21T12:10:00Z</cp:lastPrinted>
  <dcterms:created xsi:type="dcterms:W3CDTF">2019-01-21T11:53:00Z</dcterms:created>
  <dcterms:modified xsi:type="dcterms:W3CDTF">2019-01-21T12:10:00Z</dcterms:modified>
</cp:coreProperties>
</file>