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CF7459">
        <w:rPr>
          <w:color w:val="FF0000"/>
        </w:rPr>
        <w:t>1838622011490862201001102303</w:t>
      </w:r>
      <w:r w:rsidR="000F08E2">
        <w:rPr>
          <w:color w:val="FF0000"/>
        </w:rPr>
        <w:t>5</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451AB5" w:rsidP="000F08E2">
            <w:pPr>
              <w:ind w:right="176"/>
              <w:jc w:val="center"/>
              <w:rPr>
                <w:b/>
              </w:rPr>
            </w:pPr>
            <w:r>
              <w:rPr>
                <w:b/>
                <w:bCs/>
              </w:rPr>
              <w:t>6</w:t>
            </w:r>
            <w:r w:rsidR="000F08E2">
              <w:rPr>
                <w:b/>
                <w:bCs/>
              </w:rPr>
              <w:t> 739 920</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175E4">
        <w:t>10</w:t>
      </w:r>
      <w:r w:rsidRPr="00992D03">
        <w:t xml:space="preserve">__ часов </w:t>
      </w:r>
      <w:r w:rsidR="00C175E4">
        <w:t>00</w:t>
      </w:r>
      <w:r w:rsidRPr="00992D03">
        <w:t>__ минут «</w:t>
      </w:r>
      <w:r w:rsidR="00C175E4">
        <w:t>29</w:t>
      </w:r>
      <w:r w:rsidRPr="00992D03">
        <w:t>__» __</w:t>
      </w:r>
      <w:r w:rsidR="00C175E4">
        <w:t>ноября</w:t>
      </w:r>
      <w:r w:rsidRPr="00992D03">
        <w:t>___________ 201</w:t>
      </w:r>
      <w:r w:rsidR="00C175E4">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C175E4">
        <w:t>30</w:t>
      </w:r>
      <w:r w:rsidR="00686C25">
        <w:t xml:space="preserve"> </w:t>
      </w:r>
      <w:r>
        <w:t>» </w:t>
      </w:r>
      <w:r w:rsidR="002659D5">
        <w:rPr>
          <w:rFonts w:cs="Arial"/>
          <w:sz w:val="22"/>
          <w:szCs w:val="22"/>
        </w:rPr>
        <w:t xml:space="preserve"> </w:t>
      </w:r>
      <w:r w:rsidR="00C175E4">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C175E4">
        <w:t>03</w:t>
      </w:r>
      <w:r w:rsidR="00686C25">
        <w:t xml:space="preserve"> </w:t>
      </w:r>
      <w:r w:rsidR="001B1A02">
        <w:t>» </w:t>
      </w:r>
      <w:r w:rsidR="002659D5">
        <w:t xml:space="preserve">  </w:t>
      </w:r>
      <w:r w:rsidR="00C175E4">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0F08E2">
        <w:rPr>
          <w:b/>
        </w:rPr>
        <w:t>33 699,60</w:t>
      </w:r>
      <w:r w:rsidR="007E42A4">
        <w:rPr>
          <w:b/>
        </w:rPr>
        <w:t xml:space="preserve"> рубл</w:t>
      </w:r>
      <w:r w:rsidR="00A85C60">
        <w:rPr>
          <w:b/>
        </w:rPr>
        <w:t>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0F08E2">
        <w:rPr>
          <w:b/>
        </w:rPr>
        <w:t>336 996,0</w:t>
      </w:r>
      <w:r w:rsidR="00A85C60">
        <w:rPr>
          <w:b/>
        </w:rPr>
        <w:t>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5C49D9">
        <w:rPr>
          <w:color w:val="FF0000"/>
        </w:rPr>
        <w:t>03</w:t>
      </w:r>
      <w:r w:rsidR="000F08E2">
        <w:rPr>
          <w:color w:val="FF0000"/>
        </w:rPr>
        <w:t>56</w:t>
      </w:r>
      <w:r w:rsidRPr="005D7E8B">
        <w:rPr>
          <w:color w:val="FF0000"/>
        </w:rPr>
        <w:t>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54" w:rsidRDefault="00A37B54" w:rsidP="002F6760">
      <w:pPr>
        <w:spacing w:after="0"/>
      </w:pPr>
      <w:r>
        <w:separator/>
      </w:r>
    </w:p>
  </w:endnote>
  <w:endnote w:type="continuationSeparator" w:id="0">
    <w:p w:rsidR="00A37B54" w:rsidRDefault="00A37B5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175E4">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54" w:rsidRDefault="00A37B54" w:rsidP="002F6760">
      <w:pPr>
        <w:spacing w:after="0"/>
      </w:pPr>
      <w:r>
        <w:separator/>
      </w:r>
    </w:p>
  </w:footnote>
  <w:footnote w:type="continuationSeparator" w:id="0">
    <w:p w:rsidR="00A37B54" w:rsidRDefault="00A37B5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8E2"/>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2DC8"/>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D5510"/>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37B54"/>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175E4"/>
    <w:rsid w:val="00C22B92"/>
    <w:rsid w:val="00C336BB"/>
    <w:rsid w:val="00C54DAF"/>
    <w:rsid w:val="00C55D9D"/>
    <w:rsid w:val="00C575B0"/>
    <w:rsid w:val="00C63994"/>
    <w:rsid w:val="00C66E98"/>
    <w:rsid w:val="00C674F0"/>
    <w:rsid w:val="00C70558"/>
    <w:rsid w:val="00C72FCB"/>
    <w:rsid w:val="00C8364A"/>
    <w:rsid w:val="00C95DCB"/>
    <w:rsid w:val="00CA3E46"/>
    <w:rsid w:val="00CA6512"/>
    <w:rsid w:val="00CB0756"/>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C9481-DA3C-4976-898B-240DEADE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112</cp:revision>
  <cp:lastPrinted>2018-11-12T05:07:00Z</cp:lastPrinted>
  <dcterms:created xsi:type="dcterms:W3CDTF">2016-09-13T09:46:00Z</dcterms:created>
  <dcterms:modified xsi:type="dcterms:W3CDTF">2018-11-13T09:55:00Z</dcterms:modified>
</cp:coreProperties>
</file>