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354E8C" w:rsidRPr="00CF679B" w:rsidTr="00354E8C">
        <w:tc>
          <w:tcPr>
            <w:tcW w:w="4553" w:type="dxa"/>
            <w:shd w:val="clear" w:color="auto" w:fill="auto"/>
          </w:tcPr>
          <w:p w:rsidR="00354E8C" w:rsidRPr="00CF679B" w:rsidRDefault="00354E8C" w:rsidP="00354E8C">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tcPr>
          <w:p w:rsidR="00354E8C" w:rsidRPr="00F1413B" w:rsidRDefault="0079563A" w:rsidP="00B64FBF">
            <w:pPr>
              <w:keepNext/>
              <w:keepLines/>
              <w:widowControl w:val="0"/>
              <w:suppressLineNumbers/>
              <w:suppressAutoHyphens/>
              <w:jc w:val="right"/>
              <w:rPr>
                <w:rFonts w:ascii="PT Astra Serif" w:hAnsi="PT Astra Serif"/>
                <w:sz w:val="24"/>
                <w:szCs w:val="26"/>
              </w:rPr>
            </w:pPr>
            <w:r>
              <w:rPr>
                <w:noProof/>
              </w:rPr>
              <w:drawing>
                <wp:inline distT="0" distB="0" distL="0" distR="0" wp14:anchorId="2C23EC16" wp14:editId="4EBF885F">
                  <wp:extent cx="2026928" cy="123681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2598" cy="1246375"/>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502624" w:rsidRPr="00502624" w:rsidRDefault="00502624" w:rsidP="00502624">
      <w:pPr>
        <w:pStyle w:val="10"/>
        <w:keepNext/>
        <w:keepLines/>
        <w:suppressLineNumbers/>
        <w:spacing w:after="0"/>
        <w:jc w:val="center"/>
        <w:rPr>
          <w:rFonts w:ascii="PT Astra Serif" w:hAnsi="PT Astra Serif"/>
          <w:b/>
          <w:bCs/>
        </w:rPr>
      </w:pPr>
      <w:r w:rsidRPr="00502624">
        <w:rPr>
          <w:rFonts w:ascii="PT Astra Serif" w:hAnsi="PT Astra Serif"/>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1413B" w:rsidRDefault="007F7B7C" w:rsidP="007F7B7C">
      <w:pPr>
        <w:pStyle w:val="10"/>
        <w:keepNext/>
        <w:keepLines/>
        <w:suppressLineNumbers/>
        <w:spacing w:after="0"/>
        <w:jc w:val="center"/>
        <w:rPr>
          <w:rFonts w:ascii="PT Astra Serif" w:hAnsi="PT Astra Serif"/>
          <w:b/>
          <w:bCs/>
          <w:sz w:val="22"/>
        </w:rPr>
      </w:pPr>
      <w:r w:rsidRPr="007F7B7C">
        <w:rPr>
          <w:rFonts w:ascii="PT Astra Serif" w:hAnsi="PT Astra Serif"/>
          <w:b/>
          <w:bCs/>
        </w:rPr>
        <w:t xml:space="preserve">на оказание </w:t>
      </w:r>
      <w:proofErr w:type="spellStart"/>
      <w:r w:rsidRPr="007F7B7C">
        <w:rPr>
          <w:rFonts w:ascii="PT Astra Serif" w:hAnsi="PT Astra Serif"/>
          <w:b/>
          <w:bCs/>
        </w:rPr>
        <w:t>телематических</w:t>
      </w:r>
      <w:proofErr w:type="spellEnd"/>
      <w:r w:rsidRPr="007F7B7C">
        <w:rPr>
          <w:rFonts w:ascii="PT Astra Serif" w:hAnsi="PT Astra Serif"/>
          <w:b/>
          <w:bCs/>
        </w:rPr>
        <w:t xml:space="preserve"> услуг связи</w:t>
      </w:r>
    </w:p>
    <w:p w:rsidR="00D91FE3" w:rsidRPr="00F1413B" w:rsidRDefault="00D91FE3">
      <w:pPr>
        <w:pStyle w:val="10"/>
        <w:keepNext/>
        <w:keepLines/>
        <w:suppressLineNumbers/>
        <w:rPr>
          <w:rFonts w:ascii="PT Astra Serif" w:hAnsi="PT Astra Serif"/>
          <w:b/>
          <w:bCs/>
          <w:sz w:val="22"/>
        </w:rPr>
      </w:pPr>
    </w:p>
    <w:p w:rsidR="0004101A" w:rsidRDefault="0004101A">
      <w:pPr>
        <w:pStyle w:val="10"/>
        <w:keepNext/>
        <w:keepLines/>
        <w:suppressLineNumbers/>
        <w:jc w:val="center"/>
        <w:rPr>
          <w:rFonts w:ascii="PT Astra Serif" w:hAnsi="PT Astra Serif"/>
          <w:b/>
          <w:bCs/>
          <w:sz w:val="22"/>
        </w:rPr>
      </w:pPr>
    </w:p>
    <w:p w:rsidR="00A50649" w:rsidRPr="00F1413B" w:rsidRDefault="00A50649">
      <w:pPr>
        <w:pStyle w:val="10"/>
        <w:keepNext/>
        <w:keepLines/>
        <w:suppressLineNumbers/>
        <w:jc w:val="center"/>
        <w:rPr>
          <w:rFonts w:ascii="PT Astra Serif" w:hAnsi="PT Astra Serif"/>
          <w:b/>
          <w:bCs/>
          <w:sz w:val="22"/>
        </w:rPr>
      </w:pPr>
    </w:p>
    <w:p w:rsidR="0004101A" w:rsidRPr="00F1413B" w:rsidRDefault="0004101A">
      <w:pPr>
        <w:pStyle w:val="10"/>
        <w:keepNext/>
        <w:keepLines/>
        <w:suppressLineNumbers/>
        <w:jc w:val="center"/>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890834" w:rsidRDefault="00890834">
      <w:pPr>
        <w:pStyle w:val="10"/>
        <w:keepNext/>
        <w:keepLines/>
        <w:suppressLineNumbers/>
        <w:jc w:val="center"/>
        <w:rPr>
          <w:rFonts w:ascii="PT Astra Serif" w:hAnsi="PT Astra Serif"/>
          <w:b/>
          <w:bCs/>
          <w:sz w:val="22"/>
        </w:rPr>
      </w:pPr>
    </w:p>
    <w:p w:rsidR="00354E8C" w:rsidRDefault="00354E8C">
      <w:pPr>
        <w:pStyle w:val="10"/>
        <w:keepNext/>
        <w:keepLines/>
        <w:suppressLineNumbers/>
        <w:jc w:val="center"/>
        <w:rPr>
          <w:rFonts w:ascii="PT Astra Serif" w:hAnsi="PT Astra Serif"/>
          <w:b/>
          <w:bCs/>
          <w:sz w:val="22"/>
        </w:rPr>
      </w:pPr>
    </w:p>
    <w:p w:rsidR="00F1413B" w:rsidRDefault="00F1413B">
      <w:pPr>
        <w:pStyle w:val="10"/>
        <w:keepNext/>
        <w:keepLines/>
        <w:suppressLineNumbers/>
        <w:jc w:val="center"/>
        <w:rPr>
          <w:rFonts w:ascii="PT Astra Serif" w:hAnsi="PT Astra Serif"/>
          <w:b/>
          <w:bCs/>
          <w:sz w:val="22"/>
        </w:rPr>
      </w:pPr>
    </w:p>
    <w:p w:rsidR="007F7B7C" w:rsidRDefault="007F7B7C">
      <w:pPr>
        <w:pStyle w:val="10"/>
        <w:keepNext/>
        <w:keepLines/>
        <w:suppressLineNumbers/>
        <w:jc w:val="center"/>
        <w:rPr>
          <w:rFonts w:ascii="PT Astra Serif" w:hAnsi="PT Astra Serif"/>
          <w:b/>
          <w:bCs/>
          <w:sz w:val="22"/>
        </w:rPr>
      </w:pPr>
    </w:p>
    <w:p w:rsidR="007F7B7C" w:rsidRDefault="007F7B7C">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rsidP="00AE5BEC">
            <w:pPr>
              <w:pStyle w:val="10"/>
              <w:keepNext/>
              <w:keepLines/>
              <w:suppressLineNumbers/>
              <w:spacing w:after="0" w:line="240" w:lineRule="auto"/>
              <w:rPr>
                <w:rFonts w:ascii="PT Astra Serif" w:hAnsi="PT Astra Serif"/>
                <w:sz w:val="28"/>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502624"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10256A" w:rsidRDefault="00502624" w:rsidP="00502624">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Pr="00B36D6A">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w:t>
            </w:r>
            <w:proofErr w:type="spellStart"/>
            <w:r w:rsidR="007F7B7C" w:rsidRPr="007F7B7C">
              <w:rPr>
                <w:rFonts w:ascii="PT Astra Serif" w:hAnsi="PT Astra Serif"/>
                <w:iCs/>
                <w:color w:val="000099"/>
                <w:sz w:val="22"/>
                <w:szCs w:val="22"/>
              </w:rPr>
              <w:t>телематических</w:t>
            </w:r>
            <w:proofErr w:type="spellEnd"/>
            <w:r w:rsidR="007F7B7C" w:rsidRPr="007F7B7C">
              <w:rPr>
                <w:rFonts w:ascii="PT Astra Serif" w:hAnsi="PT Astra Serif"/>
                <w:iCs/>
                <w:color w:val="000099"/>
                <w:sz w:val="22"/>
                <w:szCs w:val="22"/>
              </w:rPr>
              <w:t xml:space="preserve"> услуг связи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502624"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10256A" w:rsidRDefault="007F7B7C" w:rsidP="00502624">
            <w:pPr>
              <w:pStyle w:val="10"/>
              <w:spacing w:after="0" w:line="240" w:lineRule="auto"/>
              <w:rPr>
                <w:rFonts w:ascii="PT Astra Serif" w:hAnsi="PT Astra Serif"/>
                <w:color w:val="000099"/>
                <w:sz w:val="22"/>
                <w:szCs w:val="22"/>
              </w:rPr>
            </w:pPr>
            <w:r w:rsidRPr="007F7B7C">
              <w:rPr>
                <w:rFonts w:ascii="PT Astra Serif" w:hAnsi="PT Astra Serif"/>
                <w:color w:val="000099"/>
                <w:sz w:val="22"/>
                <w:szCs w:val="22"/>
              </w:rPr>
              <w:t xml:space="preserve">Администрация города Югорска, Ханты-Мансийский автономный округ – Югра, </w:t>
            </w:r>
            <w:proofErr w:type="spellStart"/>
            <w:r w:rsidRPr="007F7B7C">
              <w:rPr>
                <w:rFonts w:ascii="PT Astra Serif" w:hAnsi="PT Astra Serif"/>
                <w:color w:val="000099"/>
                <w:sz w:val="22"/>
                <w:szCs w:val="22"/>
              </w:rPr>
              <w:t>г</w:t>
            </w:r>
            <w:proofErr w:type="gramStart"/>
            <w:r w:rsidRPr="007F7B7C">
              <w:rPr>
                <w:rFonts w:ascii="PT Astra Serif" w:hAnsi="PT Astra Serif"/>
                <w:color w:val="000099"/>
                <w:sz w:val="22"/>
                <w:szCs w:val="22"/>
              </w:rPr>
              <w:t>.Ю</w:t>
            </w:r>
            <w:proofErr w:type="gramEnd"/>
            <w:r w:rsidRPr="007F7B7C">
              <w:rPr>
                <w:rFonts w:ascii="PT Astra Serif" w:hAnsi="PT Astra Serif"/>
                <w:color w:val="000099"/>
                <w:sz w:val="22"/>
                <w:szCs w:val="22"/>
              </w:rPr>
              <w:t>горск</w:t>
            </w:r>
            <w:proofErr w:type="spellEnd"/>
            <w:r w:rsidRPr="007F7B7C">
              <w:rPr>
                <w:rFonts w:ascii="PT Astra Serif" w:hAnsi="PT Astra Serif"/>
                <w:color w:val="000099"/>
                <w:sz w:val="22"/>
                <w:szCs w:val="22"/>
              </w:rPr>
              <w:t xml:space="preserve">, ул.40 лет Победы, д.11; </w:t>
            </w:r>
            <w:proofErr w:type="spellStart"/>
            <w:r w:rsidRPr="007F7B7C">
              <w:rPr>
                <w:rFonts w:ascii="PT Astra Serif" w:hAnsi="PT Astra Serif"/>
                <w:color w:val="000099"/>
                <w:sz w:val="22"/>
                <w:szCs w:val="22"/>
              </w:rPr>
              <w:t>ул.Механизаторов</w:t>
            </w:r>
            <w:proofErr w:type="spellEnd"/>
            <w:r w:rsidRPr="007F7B7C">
              <w:rPr>
                <w:rFonts w:ascii="PT Astra Serif" w:hAnsi="PT Astra Serif"/>
                <w:color w:val="000099"/>
                <w:sz w:val="22"/>
                <w:szCs w:val="22"/>
              </w:rPr>
              <w:t xml:space="preserve">, д.22; </w:t>
            </w:r>
            <w:proofErr w:type="spellStart"/>
            <w:r w:rsidRPr="007F7B7C">
              <w:rPr>
                <w:rFonts w:ascii="PT Astra Serif" w:hAnsi="PT Astra Serif"/>
                <w:color w:val="000099"/>
                <w:sz w:val="22"/>
                <w:szCs w:val="22"/>
              </w:rPr>
              <w:t>ул.Спортивная</w:t>
            </w:r>
            <w:proofErr w:type="spellEnd"/>
            <w:r w:rsidRPr="007F7B7C">
              <w:rPr>
                <w:rFonts w:ascii="PT Astra Serif" w:hAnsi="PT Astra Serif"/>
                <w:color w:val="000099"/>
                <w:sz w:val="22"/>
                <w:szCs w:val="22"/>
              </w:rPr>
              <w:t xml:space="preserve">, д.2; </w:t>
            </w:r>
            <w:proofErr w:type="spellStart"/>
            <w:r w:rsidRPr="007F7B7C">
              <w:rPr>
                <w:rFonts w:ascii="PT Astra Serif" w:hAnsi="PT Astra Serif"/>
                <w:color w:val="000099"/>
                <w:sz w:val="22"/>
                <w:szCs w:val="22"/>
              </w:rPr>
              <w:t>ул.Железнодорожная</w:t>
            </w:r>
            <w:proofErr w:type="spellEnd"/>
            <w:r w:rsidRPr="007F7B7C">
              <w:rPr>
                <w:rFonts w:ascii="PT Astra Serif" w:hAnsi="PT Astra Serif"/>
                <w:color w:val="000099"/>
                <w:sz w:val="22"/>
                <w:szCs w:val="22"/>
              </w:rPr>
              <w:t>, д.43</w:t>
            </w:r>
          </w:p>
        </w:tc>
      </w:tr>
      <w:tr w:rsidR="00502624" w:rsidRPr="00CF690A" w:rsidTr="00E913E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CF690A" w:rsidRDefault="00502624" w:rsidP="00502624">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02624" w:rsidRPr="00B45F02" w:rsidRDefault="00502624" w:rsidP="00502624">
            <w:pPr>
              <w:pStyle w:val="10"/>
              <w:spacing w:after="0" w:line="240" w:lineRule="auto"/>
              <w:ind w:left="33"/>
              <w:rPr>
                <w:rFonts w:ascii="PT Astra Serif" w:hAnsi="PT Astra Serif"/>
              </w:rPr>
            </w:pPr>
            <w:r w:rsidRPr="00762A45">
              <w:rPr>
                <w:rFonts w:ascii="PT Astra Serif" w:hAnsi="PT Astra Serif"/>
                <w:color w:val="000099"/>
                <w:sz w:val="22"/>
              </w:rPr>
              <w:t>с момента заключения муниципального контракта, но не ранее 01.01.202</w:t>
            </w:r>
            <w:r>
              <w:rPr>
                <w:rFonts w:ascii="PT Astra Serif" w:hAnsi="PT Astra Serif"/>
                <w:color w:val="000099"/>
                <w:sz w:val="22"/>
              </w:rPr>
              <w:t>2,</w:t>
            </w:r>
            <w:r w:rsidRPr="00762A45">
              <w:rPr>
                <w:rFonts w:ascii="PT Astra Serif" w:hAnsi="PT Astra Serif"/>
                <w:color w:val="000099"/>
                <w:sz w:val="22"/>
              </w:rPr>
              <w:t xml:space="preserve"> по 31.12.202</w:t>
            </w:r>
            <w:r>
              <w:rPr>
                <w:rFonts w:ascii="PT Astra Serif" w:hAnsi="PT Astra Serif"/>
                <w:color w:val="000099"/>
                <w:sz w:val="22"/>
              </w:rPr>
              <w:t>2</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B2035D" w:rsidP="005E2FA8">
            <w:pPr>
              <w:pStyle w:val="10"/>
              <w:spacing w:after="0" w:line="240" w:lineRule="auto"/>
              <w:rPr>
                <w:rFonts w:ascii="PT Astra Serif" w:hAnsi="PT Astra Serif"/>
              </w:rPr>
            </w:pPr>
            <w:r>
              <w:rPr>
                <w:rFonts w:ascii="PT Astra Serif" w:hAnsi="PT Astra Serif"/>
                <w:color w:val="000099"/>
                <w:sz w:val="22"/>
                <w:szCs w:val="22"/>
              </w:rPr>
              <w:t>2</w:t>
            </w:r>
            <w:r w:rsidR="007F7B7C">
              <w:rPr>
                <w:rFonts w:ascii="PT Astra Serif" w:hAnsi="PT Astra Serif"/>
                <w:color w:val="000099"/>
                <w:sz w:val="22"/>
                <w:szCs w:val="22"/>
              </w:rPr>
              <w:t>73</w:t>
            </w:r>
            <w:r w:rsidR="00890834">
              <w:rPr>
                <w:rFonts w:ascii="PT Astra Serif" w:hAnsi="PT Astra Serif"/>
                <w:color w:val="000099"/>
                <w:sz w:val="22"/>
                <w:szCs w:val="22"/>
              </w:rPr>
              <w:t xml:space="preserve"> </w:t>
            </w:r>
            <w:r w:rsidR="00E913EB">
              <w:rPr>
                <w:rFonts w:ascii="PT Astra Serif" w:hAnsi="PT Astra Serif"/>
                <w:color w:val="000099"/>
                <w:sz w:val="22"/>
                <w:szCs w:val="22"/>
              </w:rPr>
              <w:t>7</w:t>
            </w:r>
            <w:r w:rsidR="007F7B7C">
              <w:rPr>
                <w:rFonts w:ascii="PT Astra Serif" w:hAnsi="PT Astra Serif"/>
                <w:color w:val="000099"/>
                <w:sz w:val="22"/>
                <w:szCs w:val="22"/>
              </w:rPr>
              <w:t>50</w:t>
            </w:r>
            <w:r w:rsidR="00F12074" w:rsidRPr="00CF690A">
              <w:rPr>
                <w:rFonts w:ascii="PT Astra Serif" w:hAnsi="PT Astra Serif"/>
                <w:color w:val="000099"/>
                <w:sz w:val="22"/>
                <w:szCs w:val="22"/>
              </w:rPr>
              <w:t xml:space="preserve"> (</w:t>
            </w:r>
            <w:r>
              <w:rPr>
                <w:rFonts w:ascii="PT Astra Serif" w:hAnsi="PT Astra Serif"/>
                <w:color w:val="000099"/>
                <w:sz w:val="22"/>
                <w:szCs w:val="22"/>
              </w:rPr>
              <w:t>дв</w:t>
            </w:r>
            <w:r w:rsidR="007F7B7C">
              <w:rPr>
                <w:rFonts w:ascii="PT Astra Serif" w:hAnsi="PT Astra Serif"/>
                <w:color w:val="000099"/>
                <w:sz w:val="22"/>
                <w:szCs w:val="22"/>
              </w:rPr>
              <w:t>ести семьдесят три</w:t>
            </w:r>
            <w:r>
              <w:rPr>
                <w:rFonts w:ascii="PT Astra Serif" w:hAnsi="PT Astra Serif"/>
                <w:color w:val="000099"/>
                <w:sz w:val="22"/>
                <w:szCs w:val="22"/>
              </w:rPr>
              <w:t xml:space="preserve"> тысяч</w:t>
            </w:r>
            <w:r w:rsidR="007F7B7C">
              <w:rPr>
                <w:rFonts w:ascii="PT Astra Serif" w:hAnsi="PT Astra Serif"/>
                <w:color w:val="000099"/>
                <w:sz w:val="22"/>
                <w:szCs w:val="22"/>
              </w:rPr>
              <w:t xml:space="preserve">и </w:t>
            </w:r>
            <w:r w:rsidR="00E913EB">
              <w:rPr>
                <w:rFonts w:ascii="PT Astra Serif" w:hAnsi="PT Astra Serif"/>
                <w:color w:val="000099"/>
                <w:sz w:val="22"/>
                <w:szCs w:val="22"/>
              </w:rPr>
              <w:t xml:space="preserve">семьсот </w:t>
            </w:r>
            <w:r w:rsidR="007F7B7C">
              <w:rPr>
                <w:rFonts w:ascii="PT Astra Serif" w:hAnsi="PT Astra Serif"/>
                <w:color w:val="000099"/>
                <w:sz w:val="22"/>
                <w:szCs w:val="22"/>
              </w:rPr>
              <w:t>пятьдесят</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B745B" w:rsidRDefault="007F7B7C" w:rsidP="00E913EB">
            <w:pPr>
              <w:pStyle w:val="10"/>
              <w:spacing w:after="0" w:line="240" w:lineRule="auto"/>
              <w:rPr>
                <w:rFonts w:ascii="PT Astra Serif" w:hAnsi="PT Astra Serif"/>
                <w:i/>
                <w:color w:val="000099"/>
                <w:sz w:val="22"/>
                <w:szCs w:val="22"/>
              </w:rPr>
            </w:pPr>
            <w:proofErr w:type="gramStart"/>
            <w:r w:rsidRPr="007F7B7C">
              <w:rPr>
                <w:rFonts w:ascii="PT Astra Serif" w:hAnsi="PT Astra Serif"/>
                <w:color w:val="000099"/>
                <w:sz w:val="22"/>
                <w:szCs w:val="22"/>
              </w:rPr>
              <w:t>бюджет города Югорска на 2022 год,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roofErr w:type="gramEnd"/>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w:t>
            </w:r>
            <w:r w:rsidRPr="00CF690A">
              <w:rPr>
                <w:rFonts w:ascii="PT Astra Serif" w:hAnsi="PT Astra Serif"/>
                <w:sz w:val="22"/>
                <w:szCs w:val="22"/>
              </w:rPr>
              <w:lastRenderedPageBreak/>
              <w:t>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634DA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CF690A">
              <w:rPr>
                <w:rFonts w:ascii="PT Astra Serif" w:hAnsi="PT Astra Serif"/>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CF690A">
              <w:rPr>
                <w:rFonts w:ascii="PT Astra Serif" w:hAnsi="PT Astra Serif"/>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917656" w:rsidP="005E2FA8">
            <w:pPr>
              <w:pStyle w:val="3"/>
              <w:numPr>
                <w:ilvl w:val="0"/>
                <w:numId w:val="0"/>
              </w:numPr>
              <w:spacing w:before="0" w:after="0" w:line="240" w:lineRule="auto"/>
              <w:jc w:val="both"/>
              <w:rPr>
                <w:rFonts w:ascii="PT Astra Serif" w:hAnsi="PT Astra Serif" w:cs="Times New Roman"/>
                <w:b w:val="0"/>
                <w:bCs w:val="0"/>
                <w:sz w:val="22"/>
                <w:szCs w:val="22"/>
              </w:rPr>
            </w:pPr>
            <w:r w:rsidRPr="00917656">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w:t>
            </w:r>
            <w:r w:rsidRPr="00CF690A">
              <w:rPr>
                <w:rFonts w:ascii="PT Astra Serif" w:hAnsi="PT Astra Serif"/>
                <w:color w:val="auto"/>
                <w:sz w:val="22"/>
                <w:szCs w:val="22"/>
              </w:rPr>
              <w:lastRenderedPageBreak/>
              <w:t xml:space="preserve">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721A8F">
              <w:rPr>
                <w:rFonts w:ascii="PT Astra Serif" w:hAnsi="PT Astra Serif"/>
                <w:sz w:val="22"/>
                <w:szCs w:val="22"/>
              </w:rPr>
              <w:t>16</w:t>
            </w:r>
            <w:r w:rsidRPr="00CF690A">
              <w:rPr>
                <w:rFonts w:ascii="PT Astra Serif" w:hAnsi="PT Astra Serif"/>
                <w:sz w:val="22"/>
                <w:szCs w:val="22"/>
              </w:rPr>
              <w:t>» </w:t>
            </w:r>
            <w:r w:rsidR="00721A8F">
              <w:t xml:space="preserve">октября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21A8F">
              <w:rPr>
                <w:rFonts w:ascii="PT Astra Serif" w:hAnsi="PT Astra Serif"/>
                <w:sz w:val="22"/>
                <w:szCs w:val="22"/>
              </w:rPr>
              <w:t>18</w:t>
            </w:r>
            <w:r w:rsidRPr="00CF690A">
              <w:rPr>
                <w:rFonts w:ascii="PT Astra Serif" w:hAnsi="PT Astra Serif"/>
                <w:sz w:val="22"/>
                <w:szCs w:val="22"/>
              </w:rPr>
              <w:t>»</w:t>
            </w:r>
            <w:r w:rsidR="00721A8F">
              <w:t xml:space="preserve">октября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w:t>
            </w:r>
            <w:bookmarkStart w:id="13" w:name="_GoBack"/>
            <w:bookmarkEnd w:id="13"/>
            <w:r w:rsidRPr="00CF690A">
              <w:rPr>
                <w:rFonts w:ascii="PT Astra Serif" w:hAnsi="PT Astra Serif"/>
                <w:sz w:val="22"/>
                <w:szCs w:val="22"/>
              </w:rPr>
              <w:t xml:space="preserve">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21A8F">
            <w:pPr>
              <w:pStyle w:val="10"/>
              <w:spacing w:after="0" w:line="240" w:lineRule="auto"/>
              <w:rPr>
                <w:rFonts w:ascii="PT Astra Serif" w:hAnsi="PT Astra Serif"/>
                <w:sz w:val="22"/>
                <w:szCs w:val="22"/>
              </w:rPr>
            </w:pPr>
            <w:r w:rsidRPr="00CF690A">
              <w:rPr>
                <w:rFonts w:ascii="PT Astra Serif" w:hAnsi="PT Astra Serif"/>
                <w:sz w:val="22"/>
                <w:szCs w:val="22"/>
              </w:rPr>
              <w:t>«</w:t>
            </w:r>
            <w:r w:rsidR="00721A8F">
              <w:rPr>
                <w:rFonts w:ascii="PT Astra Serif" w:hAnsi="PT Astra Serif"/>
                <w:sz w:val="22"/>
                <w:szCs w:val="22"/>
              </w:rPr>
              <w:t>19</w:t>
            </w:r>
            <w:r w:rsidRPr="00CF690A">
              <w:rPr>
                <w:rFonts w:ascii="PT Astra Serif" w:hAnsi="PT Astra Serif"/>
                <w:sz w:val="22"/>
                <w:szCs w:val="22"/>
              </w:rPr>
              <w:t>_» </w:t>
            </w:r>
            <w:r w:rsidR="00721A8F">
              <w:t xml:space="preserve">октября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21A8F">
            <w:pPr>
              <w:pStyle w:val="10"/>
              <w:spacing w:after="0" w:line="240" w:lineRule="auto"/>
              <w:rPr>
                <w:rFonts w:ascii="PT Astra Serif" w:hAnsi="PT Astra Serif"/>
                <w:sz w:val="22"/>
                <w:szCs w:val="22"/>
              </w:rPr>
            </w:pPr>
            <w:r w:rsidRPr="00CF690A">
              <w:rPr>
                <w:rFonts w:ascii="PT Astra Serif" w:hAnsi="PT Astra Serif"/>
                <w:sz w:val="22"/>
                <w:szCs w:val="22"/>
              </w:rPr>
              <w:t>«</w:t>
            </w:r>
            <w:r w:rsidR="00721A8F">
              <w:rPr>
                <w:rFonts w:ascii="PT Astra Serif" w:hAnsi="PT Astra Serif"/>
                <w:sz w:val="22"/>
                <w:szCs w:val="22"/>
              </w:rPr>
              <w:t>20</w:t>
            </w:r>
            <w:r w:rsidRPr="00CF690A">
              <w:rPr>
                <w:rFonts w:ascii="PT Astra Serif" w:hAnsi="PT Astra Serif"/>
                <w:sz w:val="22"/>
                <w:szCs w:val="22"/>
              </w:rPr>
              <w:t>» </w:t>
            </w:r>
            <w:r w:rsidR="00721A8F">
              <w:t xml:space="preserve">октября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CF690A">
              <w:rPr>
                <w:rFonts w:ascii="PT Astra Serif" w:hAnsi="PT Astra Serif"/>
                <w:sz w:val="22"/>
                <w:szCs w:val="22"/>
              </w:rPr>
              <w:t xml:space="preserve">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 xml:space="preserve">2) документы, подтверждающие соответствие участника аукциона </w:t>
            </w:r>
            <w:r w:rsidRPr="00CF690A">
              <w:rPr>
                <w:rFonts w:ascii="PT Astra Serif" w:hAnsi="PT Astra Serif"/>
                <w:sz w:val="22"/>
                <w:szCs w:val="22"/>
              </w:rPr>
              <w:lastRenderedPageBreak/>
              <w:t>следующим требованиям:</w:t>
            </w:r>
          </w:p>
          <w:p w:rsidR="001F5F34" w:rsidRDefault="001C3F7F" w:rsidP="00354E8C">
            <w:pPr>
              <w:ind w:firstLine="340"/>
              <w:jc w:val="both"/>
              <w:rPr>
                <w:rFonts w:ascii="PT Astra Serif" w:hAnsi="PT Astra Serif"/>
                <w:color w:val="000099"/>
                <w:sz w:val="22"/>
                <w:szCs w:val="24"/>
                <w:u w:val="single"/>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BE497E" w:rsidRPr="00BE497E">
              <w:rPr>
                <w:rFonts w:ascii="PT Astra Serif" w:hAnsi="PT Astra Serif"/>
                <w:color w:val="000099"/>
                <w:sz w:val="22"/>
                <w:szCs w:val="24"/>
                <w:u w:val="single"/>
              </w:rPr>
              <w:t xml:space="preserve"> </w:t>
            </w:r>
          </w:p>
          <w:p w:rsidR="001F5F34" w:rsidRPr="001F5F34" w:rsidRDefault="001F5F34" w:rsidP="001F5F34">
            <w:pPr>
              <w:ind w:firstLine="340"/>
              <w:jc w:val="both"/>
              <w:rPr>
                <w:rFonts w:ascii="PT Astra Serif" w:hAnsi="PT Astra Serif"/>
                <w:color w:val="000099"/>
                <w:sz w:val="22"/>
                <w:szCs w:val="24"/>
                <w:u w:val="single"/>
              </w:rPr>
            </w:pPr>
            <w:r w:rsidRPr="001F5F34">
              <w:rPr>
                <w:rFonts w:ascii="PT Astra Serif" w:hAnsi="PT Astra Serif"/>
                <w:color w:val="000099"/>
                <w:sz w:val="22"/>
                <w:szCs w:val="24"/>
                <w:u w:val="single"/>
              </w:rPr>
              <w:t xml:space="preserve">1)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w:t>
            </w:r>
            <w:proofErr w:type="spellStart"/>
            <w:r w:rsidRPr="001F5F34">
              <w:rPr>
                <w:rFonts w:ascii="PT Astra Serif" w:hAnsi="PT Astra Serif"/>
                <w:color w:val="000099"/>
                <w:sz w:val="22"/>
                <w:szCs w:val="24"/>
                <w:u w:val="single"/>
              </w:rPr>
              <w:t>телематических</w:t>
            </w:r>
            <w:proofErr w:type="spellEnd"/>
            <w:r w:rsidRPr="001F5F34">
              <w:rPr>
                <w:rFonts w:ascii="PT Astra Serif" w:hAnsi="PT Astra Serif"/>
                <w:color w:val="000099"/>
                <w:sz w:val="22"/>
                <w:szCs w:val="24"/>
                <w:u w:val="single"/>
              </w:rPr>
              <w:t xml:space="preserve"> услуг связи;</w:t>
            </w:r>
          </w:p>
          <w:p w:rsidR="000C5019" w:rsidRPr="00D90167" w:rsidRDefault="001F5F34" w:rsidP="00354E8C">
            <w:pPr>
              <w:ind w:firstLine="340"/>
              <w:jc w:val="both"/>
              <w:rPr>
                <w:rFonts w:ascii="PT Astra Serif" w:hAnsi="PT Astra Serif"/>
                <w:sz w:val="22"/>
                <w:szCs w:val="22"/>
              </w:rPr>
            </w:pPr>
            <w:r w:rsidRPr="001F5F34">
              <w:rPr>
                <w:rFonts w:ascii="PT Astra Serif" w:hAnsi="PT Astra Serif"/>
                <w:color w:val="000099"/>
                <w:sz w:val="22"/>
                <w:szCs w:val="24"/>
                <w:u w:val="single"/>
              </w:rPr>
              <w:t>2) копия лицензии или копия выписки из реестра лицензий Федеральной службы по надзору в сфере связи, информационных технологий и массовых 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r w:rsidR="00E913EB">
              <w:rPr>
                <w:rFonts w:ascii="PT Astra Serif" w:hAnsi="PT Astra Serif"/>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w:t>
            </w:r>
            <w:r w:rsidRPr="00CF690A">
              <w:rPr>
                <w:rFonts w:ascii="PT Astra Serif" w:hAnsi="PT Astra Serif"/>
                <w:sz w:val="22"/>
                <w:szCs w:val="22"/>
              </w:rPr>
              <w:lastRenderedPageBreak/>
              <w:t>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w:t>
            </w:r>
            <w:r w:rsidR="00124F3B" w:rsidRPr="00CF690A">
              <w:rPr>
                <w:rFonts w:ascii="PT Astra Serif" w:hAnsi="PT Astra Serif"/>
                <w:sz w:val="22"/>
                <w:szCs w:val="22"/>
              </w:rPr>
              <w:lastRenderedPageBreak/>
              <w:t>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890834" w:rsidRDefault="0010256A" w:rsidP="00890834">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354E8C" w:rsidRPr="00B36D6A">
              <w:rPr>
                <w:rFonts w:ascii="PT Astra Serif" w:hAnsi="PT Astra Serif"/>
                <w:b/>
                <w:color w:val="000099"/>
                <w:sz w:val="22"/>
                <w:szCs w:val="22"/>
                <w:u w:val="single"/>
              </w:rPr>
              <w:t xml:space="preserve"> </w:t>
            </w:r>
            <w:r w:rsidR="00E913EB" w:rsidRPr="00B36D6A">
              <w:rPr>
                <w:rFonts w:ascii="PT Astra Serif" w:hAnsi="PT Astra Serif"/>
                <w:b/>
                <w:color w:val="000099"/>
                <w:sz w:val="22"/>
                <w:szCs w:val="22"/>
                <w:u w:val="single"/>
              </w:rPr>
              <w:t>не требуется;</w:t>
            </w:r>
          </w:p>
          <w:p w:rsidR="00124F3B" w:rsidRPr="00CF690A" w:rsidRDefault="0010256A" w:rsidP="00E913E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E913E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CF690A" w:rsidRDefault="00E913EB" w:rsidP="00E913E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CF690A" w:rsidRDefault="00E913EB" w:rsidP="00E913E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E913EB"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67D9">
              <w:rPr>
                <w:rFonts w:ascii="PT Astra Serif" w:hAnsi="PT Astra Serif"/>
                <w:color w:val="auto"/>
                <w:sz w:val="22"/>
                <w:szCs w:val="22"/>
              </w:rPr>
              <w:t>заполненного</w:t>
            </w:r>
            <w:proofErr w:type="gramEnd"/>
            <w:r w:rsidRPr="009767D9">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
          <w:p w:rsidR="00E913EB" w:rsidRPr="009767D9" w:rsidRDefault="00E913EB" w:rsidP="00E913EB">
            <w:pPr>
              <w:pStyle w:val="10"/>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E913EB" w:rsidRPr="009767D9" w:rsidRDefault="00E913EB" w:rsidP="00E913EB">
            <w:pPr>
              <w:pStyle w:val="10"/>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на участие в аукционе в электронной форме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в ГОСТе, ТУ, паспорте или других технических документах установлены одни допустимые значения показателей, а </w:t>
            </w:r>
            <w:r w:rsidRPr="009767D9">
              <w:rPr>
                <w:rFonts w:ascii="PT Astra Serif" w:hAnsi="PT Astra Serif"/>
                <w:color w:val="auto"/>
                <w:sz w:val="22"/>
                <w:szCs w:val="22"/>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913EB"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913EB" w:rsidRPr="009767D9" w:rsidRDefault="00E913EB" w:rsidP="00E913EB">
            <w:pPr>
              <w:pStyle w:val="10"/>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w:t>
            </w:r>
            <w:proofErr w:type="gramStart"/>
            <w:r w:rsidRPr="009767D9">
              <w:rPr>
                <w:rFonts w:ascii="PT Astra Serif" w:hAnsi="PT Astra Serif"/>
                <w:color w:val="auto"/>
                <w:sz w:val="22"/>
                <w:szCs w:val="22"/>
              </w:rPr>
              <w:t>указанного</w:t>
            </w:r>
            <w:proofErr w:type="gramEnd"/>
            <w:r w:rsidRPr="009767D9">
              <w:rPr>
                <w:rFonts w:ascii="PT Astra Serif" w:hAnsi="PT Astra Serif"/>
                <w:color w:val="auto"/>
                <w:sz w:val="22"/>
                <w:szCs w:val="22"/>
              </w:rPr>
              <w:t xml:space="preserve">;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w:t>
            </w:r>
            <w:proofErr w:type="gramStart"/>
            <w:r w:rsidRPr="009767D9">
              <w:rPr>
                <w:rFonts w:ascii="PT Astra Serif" w:hAnsi="PT Astra Serif"/>
                <w:color w:val="auto"/>
                <w:sz w:val="22"/>
                <w:szCs w:val="22"/>
              </w:rPr>
              <w:t>от</w:t>
            </w:r>
            <w:proofErr w:type="gramEnd"/>
            <w:r w:rsidRPr="009767D9">
              <w:rPr>
                <w:rFonts w:ascii="PT Astra Serif" w:hAnsi="PT Astra Serif"/>
                <w:color w:val="auto"/>
                <w:sz w:val="22"/>
                <w:szCs w:val="22"/>
              </w:rPr>
              <w:t xml:space="preserve">… до…» - </w:t>
            </w:r>
            <w:proofErr w:type="gramStart"/>
            <w:r w:rsidRPr="009767D9">
              <w:rPr>
                <w:rFonts w:ascii="PT Astra Serif" w:hAnsi="PT Astra Serif"/>
                <w:color w:val="auto"/>
                <w:sz w:val="22"/>
                <w:szCs w:val="22"/>
              </w:rPr>
              <w:t>участником</w:t>
            </w:r>
            <w:proofErr w:type="gramEnd"/>
            <w:r w:rsidRPr="009767D9">
              <w:rPr>
                <w:rFonts w:ascii="PT Astra Serif" w:hAnsi="PT Astra Serif"/>
                <w:color w:val="auto"/>
                <w:sz w:val="22"/>
                <w:szCs w:val="22"/>
              </w:rPr>
              <w:t xml:space="preserve"> предоставляется одно конкретное значение в рамках значений;</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(например - погрешность) - участником предоставляется конкретное значение с указанием знака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участником предоставляется конкретное значение в рамках значений;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равное или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менее правого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 - </w:t>
            </w:r>
            <w:r w:rsidRPr="009767D9">
              <w:rPr>
                <w:rFonts w:ascii="PT Astra Serif" w:hAnsi="PT Astra Serif"/>
                <w:color w:val="auto"/>
                <w:sz w:val="22"/>
                <w:szCs w:val="22"/>
              </w:rPr>
              <w:lastRenderedPageBreak/>
              <w:t>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913EB" w:rsidRPr="009767D9" w:rsidRDefault="00E913EB" w:rsidP="00E913EB">
            <w:pPr>
              <w:pStyle w:val="10"/>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w:t>
            </w:r>
          </w:p>
          <w:p w:rsidR="00E913EB" w:rsidRPr="009767D9" w:rsidRDefault="00E913EB" w:rsidP="00E913EB">
            <w:pPr>
              <w:pStyle w:val="10"/>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характеристики товара содержатся в колонке «Значения показателей, которые не могут изменяться (</w:t>
            </w:r>
            <w:proofErr w:type="gramStart"/>
            <w:r w:rsidRPr="009767D9">
              <w:rPr>
                <w:rFonts w:ascii="PT Astra Serif" w:hAnsi="PT Astra Serif"/>
                <w:color w:val="auto"/>
                <w:sz w:val="22"/>
                <w:szCs w:val="22"/>
              </w:rPr>
              <w:t>неизменяемое</w:t>
            </w:r>
            <w:proofErr w:type="gramEnd"/>
            <w:r w:rsidRPr="009767D9">
              <w:rPr>
                <w:rFonts w:ascii="PT Astra Serif" w:hAnsi="PT Astra Serif"/>
                <w:color w:val="auto"/>
                <w:sz w:val="22"/>
                <w:szCs w:val="22"/>
              </w:rPr>
              <w:t xml:space="preserve">)» – участник не вправе изменять указанные значения.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включительно.</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67D9">
              <w:rPr>
                <w:rFonts w:ascii="PT Astra Serif" w:hAnsi="PT Astra Serif"/>
                <w:color w:val="auto"/>
                <w:sz w:val="22"/>
                <w:szCs w:val="22"/>
              </w:rPr>
              <w:t>.»</w:t>
            </w:r>
            <w:proofErr w:type="gramEnd"/>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67D9">
              <w:rPr>
                <w:rFonts w:ascii="PT Astra Serif" w:hAnsi="PT Astra Serif"/>
                <w:color w:val="auto"/>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xml:space="preserve">)». </w:t>
            </w:r>
          </w:p>
          <w:p w:rsidR="00E913EB" w:rsidRPr="009767D9" w:rsidRDefault="00E913EB" w:rsidP="00E913EB">
            <w:pPr>
              <w:pStyle w:val="10"/>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E913EB" w:rsidRPr="009767D9" w:rsidRDefault="00E913EB" w:rsidP="00E913EB">
            <w:pPr>
              <w:pStyle w:val="10"/>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E913EB" w:rsidRPr="00BF290C" w:rsidRDefault="00E913EB" w:rsidP="00E913EB">
            <w:pPr>
              <w:pStyle w:val="10"/>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17" w:name="_Ref166566393"/>
            <w:bookmarkStart w:id="18" w:name="_Ref166314817"/>
            <w:bookmarkEnd w:id="17"/>
            <w:bookmarkEnd w:id="1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19" w:name="_Ref1665663931"/>
            <w:bookmarkStart w:id="20" w:name="_Ref166566297"/>
            <w:bookmarkEnd w:id="19"/>
            <w:bookmarkEnd w:id="20"/>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1F5F34" w:rsidRPr="001F5F34">
              <w:rPr>
                <w:rFonts w:ascii="PT Astra Serif" w:hAnsi="PT Astra Serif"/>
                <w:color w:val="000099"/>
                <w:sz w:val="22"/>
                <w:szCs w:val="22"/>
              </w:rPr>
              <w:t>2 737 (две тысячи семьсот тридцать семь) рублей 50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1"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2" w:name="_Ref166315159"/>
            <w:bookmarkEnd w:id="2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3" w:name="_Ref166337491"/>
            <w:bookmarkStart w:id="24" w:name="_Ref166315600"/>
            <w:bookmarkStart w:id="25" w:name="_Ref166315233"/>
            <w:bookmarkEnd w:id="23"/>
            <w:bookmarkEnd w:id="24"/>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E913EB" w:rsidRPr="00E913EB">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6" w:name="_Ref166350695"/>
            <w:bookmarkEnd w:id="26"/>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lastRenderedPageBreak/>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w:t>
            </w:r>
            <w:r w:rsidRPr="00CF690A">
              <w:rPr>
                <w:rFonts w:ascii="PT Astra Serif" w:hAnsi="PT Astra Serif"/>
                <w:color w:val="00000A"/>
                <w:sz w:val="22"/>
                <w:szCs w:val="22"/>
              </w:rPr>
              <w:lastRenderedPageBreak/>
              <w:t>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27" w:name="_Ref166350767"/>
            <w:bookmarkStart w:id="28"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29" w:name="p2868"/>
            <w:bookmarkEnd w:id="28"/>
            <w:bookmarkEnd w:id="29"/>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1" w:name="_Ref166315737"/>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Реквизиты счета для внесения обеспечения исполнения контракта (в </w:t>
            </w:r>
            <w:r w:rsidRPr="00CF690A">
              <w:rPr>
                <w:rFonts w:ascii="PT Astra Serif" w:hAnsi="PT Astra Serif"/>
                <w:sz w:val="22"/>
                <w:szCs w:val="22"/>
              </w:rPr>
              <w:lastRenderedPageBreak/>
              <w:t>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90834" w:rsidRPr="00E43DC3" w:rsidRDefault="00890834" w:rsidP="00890834">
            <w:pPr>
              <w:widowControl w:val="0"/>
              <w:tabs>
                <w:tab w:val="left" w:pos="709"/>
              </w:tabs>
              <w:suppressAutoHyphens/>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Югорска (Администрация города Югорска, 05873030170), ИНН 8622002368, КПП 862201001.</w:t>
            </w:r>
          </w:p>
          <w:p w:rsidR="00890834" w:rsidRDefault="00890834" w:rsidP="00890834">
            <w:pPr>
              <w:widowControl w:val="0"/>
              <w:tabs>
                <w:tab w:val="left" w:pos="709"/>
              </w:tabs>
              <w:suppressAutoHyphens/>
              <w:jc w:val="both"/>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w:t>
            </w:r>
            <w:r w:rsidRPr="00E43DC3">
              <w:rPr>
                <w:rFonts w:ascii="PT Astra Serif" w:hAnsi="PT Astra Serif"/>
                <w:color w:val="00000A"/>
                <w:sz w:val="22"/>
                <w:szCs w:val="22"/>
              </w:rPr>
              <w:lastRenderedPageBreak/>
              <w:t>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D91FE3" w:rsidRPr="00AF6BF1" w:rsidRDefault="00F12074" w:rsidP="00890834">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DB745B" w:rsidRPr="00DB745B">
              <w:rPr>
                <w:rFonts w:ascii="PT Astra Serif" w:hAnsi="PT Astra Serif"/>
                <w:color w:val="000099"/>
                <w:sz w:val="22"/>
                <w:szCs w:val="22"/>
              </w:rPr>
              <w:t xml:space="preserve">по аукциону в электронной форме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w:t>
            </w:r>
            <w:proofErr w:type="spellStart"/>
            <w:r w:rsidR="001F5F34" w:rsidRPr="001F5F34">
              <w:rPr>
                <w:rFonts w:ascii="PT Astra Serif" w:hAnsi="PT Astra Serif"/>
                <w:color w:val="000099"/>
                <w:sz w:val="22"/>
                <w:szCs w:val="22"/>
              </w:rPr>
              <w:t>телематических</w:t>
            </w:r>
            <w:proofErr w:type="spellEnd"/>
            <w:r w:rsidR="001F5F34" w:rsidRPr="001F5F34">
              <w:rPr>
                <w:rFonts w:ascii="PT Astra Serif" w:hAnsi="PT Astra Serif"/>
                <w:color w:val="000099"/>
                <w:sz w:val="22"/>
                <w:szCs w:val="22"/>
              </w:rPr>
              <w:t xml:space="preserve"> услуг связи»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2" w:name="_Ref166340053"/>
            <w:bookmarkEnd w:id="3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3" w:name="_Ref177795013"/>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Условия, запреты и ограничения допуска товаров, происходящих из иностранного </w:t>
            </w:r>
            <w:r w:rsidRPr="00CF690A">
              <w:rPr>
                <w:rFonts w:ascii="PT Astra Serif" w:hAnsi="PT Astra Serif"/>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917656" w:rsidRDefault="00726522" w:rsidP="00726522">
            <w:pPr>
              <w:autoSpaceDE w:val="0"/>
              <w:autoSpaceDN w:val="0"/>
              <w:adjustRightInd w:val="0"/>
              <w:ind w:firstLine="340"/>
              <w:jc w:val="both"/>
              <w:rPr>
                <w:rFonts w:ascii="PT Astra Serif" w:hAnsi="PT Astra Serif"/>
                <w:b/>
                <w:color w:val="C00000"/>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726522">
              <w:rPr>
                <w:rFonts w:ascii="PT Astra Serif" w:hAnsi="PT Astra Serif"/>
                <w:sz w:val="22"/>
                <w:szCs w:val="22"/>
              </w:rPr>
              <w:lastRenderedPageBreak/>
              <w:t xml:space="preserve">муниципальных нужд»:   </w:t>
            </w:r>
            <w:r w:rsidR="00E913EB" w:rsidRPr="00E913EB">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w:t>
            </w:r>
            <w:r w:rsidRPr="00CF690A">
              <w:rPr>
                <w:rFonts w:ascii="PT Astra Serif" w:hAnsi="PT Astra Serif" w:cs="Times New Roman"/>
                <w:sz w:val="22"/>
                <w:szCs w:val="22"/>
              </w:rPr>
              <w:lastRenderedPageBreak/>
              <w:t>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CF690A">
              <w:rPr>
                <w:rFonts w:ascii="PT Astra Serif" w:hAnsi="PT Astra Serif" w:cs="Times New Roman"/>
                <w:sz w:val="22"/>
                <w:szCs w:val="22"/>
              </w:rPr>
              <w:lastRenderedPageBreak/>
              <w:t>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7F" w:rsidRDefault="00DF2E7F">
      <w:r>
        <w:separator/>
      </w:r>
    </w:p>
  </w:endnote>
  <w:endnote w:type="continuationSeparator" w:id="0">
    <w:p w:rsidR="00DF2E7F" w:rsidRDefault="00DF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721A8F">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7F" w:rsidRDefault="00DF2E7F">
      <w:r>
        <w:separator/>
      </w:r>
    </w:p>
  </w:footnote>
  <w:footnote w:type="continuationSeparator" w:id="0">
    <w:p w:rsidR="00DF2E7F" w:rsidRDefault="00DF2E7F">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0F39"/>
    <w:rsid w:val="00071C66"/>
    <w:rsid w:val="00074940"/>
    <w:rsid w:val="000826C0"/>
    <w:rsid w:val="00090672"/>
    <w:rsid w:val="00093115"/>
    <w:rsid w:val="00097683"/>
    <w:rsid w:val="000A02A9"/>
    <w:rsid w:val="000B5FFB"/>
    <w:rsid w:val="000B7C60"/>
    <w:rsid w:val="000C1FFC"/>
    <w:rsid w:val="000C3645"/>
    <w:rsid w:val="000C5019"/>
    <w:rsid w:val="000C64AF"/>
    <w:rsid w:val="000D3542"/>
    <w:rsid w:val="000D6AFA"/>
    <w:rsid w:val="000E2408"/>
    <w:rsid w:val="000E5322"/>
    <w:rsid w:val="000F54DF"/>
    <w:rsid w:val="000F59FD"/>
    <w:rsid w:val="000F6BBB"/>
    <w:rsid w:val="0010256A"/>
    <w:rsid w:val="00107477"/>
    <w:rsid w:val="00114883"/>
    <w:rsid w:val="001157FD"/>
    <w:rsid w:val="00115D97"/>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B303A"/>
    <w:rsid w:val="001C0999"/>
    <w:rsid w:val="001C3F7F"/>
    <w:rsid w:val="001D3581"/>
    <w:rsid w:val="001F5F34"/>
    <w:rsid w:val="00201057"/>
    <w:rsid w:val="00206DB6"/>
    <w:rsid w:val="0021670B"/>
    <w:rsid w:val="002227DC"/>
    <w:rsid w:val="00223387"/>
    <w:rsid w:val="00225FD7"/>
    <w:rsid w:val="0025389E"/>
    <w:rsid w:val="0026174D"/>
    <w:rsid w:val="00261A89"/>
    <w:rsid w:val="0026552C"/>
    <w:rsid w:val="00272139"/>
    <w:rsid w:val="00296EFC"/>
    <w:rsid w:val="002B41E5"/>
    <w:rsid w:val="002B7DE1"/>
    <w:rsid w:val="002C673C"/>
    <w:rsid w:val="002C7FD0"/>
    <w:rsid w:val="002D068C"/>
    <w:rsid w:val="002F42C5"/>
    <w:rsid w:val="00334660"/>
    <w:rsid w:val="00342F00"/>
    <w:rsid w:val="0034750C"/>
    <w:rsid w:val="00354BB5"/>
    <w:rsid w:val="00354E8C"/>
    <w:rsid w:val="00366661"/>
    <w:rsid w:val="003742B4"/>
    <w:rsid w:val="00391001"/>
    <w:rsid w:val="0039231D"/>
    <w:rsid w:val="00392E76"/>
    <w:rsid w:val="003951E0"/>
    <w:rsid w:val="00396178"/>
    <w:rsid w:val="0039629A"/>
    <w:rsid w:val="003A1F1C"/>
    <w:rsid w:val="003A7CFD"/>
    <w:rsid w:val="003B089C"/>
    <w:rsid w:val="003B23A6"/>
    <w:rsid w:val="003C33C0"/>
    <w:rsid w:val="003C6043"/>
    <w:rsid w:val="003F0827"/>
    <w:rsid w:val="003F0893"/>
    <w:rsid w:val="003F08A6"/>
    <w:rsid w:val="003F570D"/>
    <w:rsid w:val="0042067A"/>
    <w:rsid w:val="00427429"/>
    <w:rsid w:val="004440B7"/>
    <w:rsid w:val="00446E09"/>
    <w:rsid w:val="0044717D"/>
    <w:rsid w:val="00476BAE"/>
    <w:rsid w:val="00480EA8"/>
    <w:rsid w:val="004962E4"/>
    <w:rsid w:val="004A42FA"/>
    <w:rsid w:val="004A7558"/>
    <w:rsid w:val="004C3828"/>
    <w:rsid w:val="004D507F"/>
    <w:rsid w:val="004E0BF7"/>
    <w:rsid w:val="004E15E2"/>
    <w:rsid w:val="004F70F1"/>
    <w:rsid w:val="00502624"/>
    <w:rsid w:val="0051158D"/>
    <w:rsid w:val="00535A83"/>
    <w:rsid w:val="00542DCF"/>
    <w:rsid w:val="00555706"/>
    <w:rsid w:val="00566044"/>
    <w:rsid w:val="00566D18"/>
    <w:rsid w:val="00567EF5"/>
    <w:rsid w:val="005721EE"/>
    <w:rsid w:val="005824AA"/>
    <w:rsid w:val="005A71C3"/>
    <w:rsid w:val="005B2353"/>
    <w:rsid w:val="005B4590"/>
    <w:rsid w:val="005B5009"/>
    <w:rsid w:val="005B52BB"/>
    <w:rsid w:val="005B704B"/>
    <w:rsid w:val="005C5AE1"/>
    <w:rsid w:val="005D0417"/>
    <w:rsid w:val="005D09B5"/>
    <w:rsid w:val="005D0E67"/>
    <w:rsid w:val="005D101D"/>
    <w:rsid w:val="005D1A85"/>
    <w:rsid w:val="005D77EC"/>
    <w:rsid w:val="005E2FA8"/>
    <w:rsid w:val="005E6F8F"/>
    <w:rsid w:val="005F4912"/>
    <w:rsid w:val="00600D64"/>
    <w:rsid w:val="00603AF7"/>
    <w:rsid w:val="006043F5"/>
    <w:rsid w:val="00605FC3"/>
    <w:rsid w:val="00630516"/>
    <w:rsid w:val="00632E22"/>
    <w:rsid w:val="00634DAA"/>
    <w:rsid w:val="00642227"/>
    <w:rsid w:val="00645171"/>
    <w:rsid w:val="0065008C"/>
    <w:rsid w:val="0065498E"/>
    <w:rsid w:val="00670849"/>
    <w:rsid w:val="00674C62"/>
    <w:rsid w:val="0068634A"/>
    <w:rsid w:val="006A00FF"/>
    <w:rsid w:val="006A4A5A"/>
    <w:rsid w:val="006A5B49"/>
    <w:rsid w:val="006C7C03"/>
    <w:rsid w:val="006F183E"/>
    <w:rsid w:val="006F4CE5"/>
    <w:rsid w:val="006F54AF"/>
    <w:rsid w:val="006F694D"/>
    <w:rsid w:val="0070383A"/>
    <w:rsid w:val="00703E21"/>
    <w:rsid w:val="0070522A"/>
    <w:rsid w:val="00714E02"/>
    <w:rsid w:val="007153A6"/>
    <w:rsid w:val="00721A8F"/>
    <w:rsid w:val="00724DAD"/>
    <w:rsid w:val="00726522"/>
    <w:rsid w:val="00735F18"/>
    <w:rsid w:val="00753A5D"/>
    <w:rsid w:val="00762052"/>
    <w:rsid w:val="00765FD7"/>
    <w:rsid w:val="00786D2B"/>
    <w:rsid w:val="0079563A"/>
    <w:rsid w:val="007A0323"/>
    <w:rsid w:val="007A3D3C"/>
    <w:rsid w:val="007A40CC"/>
    <w:rsid w:val="007A666C"/>
    <w:rsid w:val="007B5A81"/>
    <w:rsid w:val="007C7869"/>
    <w:rsid w:val="007D438B"/>
    <w:rsid w:val="007E0ACF"/>
    <w:rsid w:val="007F3B4D"/>
    <w:rsid w:val="007F5BD6"/>
    <w:rsid w:val="007F69A7"/>
    <w:rsid w:val="007F7B7C"/>
    <w:rsid w:val="00811B68"/>
    <w:rsid w:val="00812495"/>
    <w:rsid w:val="00814E69"/>
    <w:rsid w:val="00833CB5"/>
    <w:rsid w:val="00840908"/>
    <w:rsid w:val="00845AA3"/>
    <w:rsid w:val="0086000C"/>
    <w:rsid w:val="00860616"/>
    <w:rsid w:val="00862260"/>
    <w:rsid w:val="00865AEB"/>
    <w:rsid w:val="0087224B"/>
    <w:rsid w:val="00890834"/>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06B12"/>
    <w:rsid w:val="0091036C"/>
    <w:rsid w:val="00912157"/>
    <w:rsid w:val="00914479"/>
    <w:rsid w:val="009174AB"/>
    <w:rsid w:val="00917656"/>
    <w:rsid w:val="0093667B"/>
    <w:rsid w:val="0095084E"/>
    <w:rsid w:val="00962A45"/>
    <w:rsid w:val="00963824"/>
    <w:rsid w:val="009767B7"/>
    <w:rsid w:val="00981320"/>
    <w:rsid w:val="00993BCC"/>
    <w:rsid w:val="009951B3"/>
    <w:rsid w:val="009A49D1"/>
    <w:rsid w:val="009A58CF"/>
    <w:rsid w:val="009B6A00"/>
    <w:rsid w:val="009F1CEF"/>
    <w:rsid w:val="00A072E3"/>
    <w:rsid w:val="00A13B60"/>
    <w:rsid w:val="00A15666"/>
    <w:rsid w:val="00A160D8"/>
    <w:rsid w:val="00A21438"/>
    <w:rsid w:val="00A23FEA"/>
    <w:rsid w:val="00A4035C"/>
    <w:rsid w:val="00A4742A"/>
    <w:rsid w:val="00A47DB7"/>
    <w:rsid w:val="00A50649"/>
    <w:rsid w:val="00A62568"/>
    <w:rsid w:val="00A66EDA"/>
    <w:rsid w:val="00A67137"/>
    <w:rsid w:val="00A71795"/>
    <w:rsid w:val="00A74D4A"/>
    <w:rsid w:val="00A75828"/>
    <w:rsid w:val="00AA794F"/>
    <w:rsid w:val="00AB74E0"/>
    <w:rsid w:val="00AC2433"/>
    <w:rsid w:val="00AD351A"/>
    <w:rsid w:val="00AD6D23"/>
    <w:rsid w:val="00AE5BEC"/>
    <w:rsid w:val="00AF6BF1"/>
    <w:rsid w:val="00AF7D14"/>
    <w:rsid w:val="00B0586E"/>
    <w:rsid w:val="00B14AE4"/>
    <w:rsid w:val="00B2035D"/>
    <w:rsid w:val="00B26925"/>
    <w:rsid w:val="00B31219"/>
    <w:rsid w:val="00B442DA"/>
    <w:rsid w:val="00B44F4C"/>
    <w:rsid w:val="00B45F02"/>
    <w:rsid w:val="00B473AB"/>
    <w:rsid w:val="00B534A3"/>
    <w:rsid w:val="00B54AF8"/>
    <w:rsid w:val="00B55497"/>
    <w:rsid w:val="00B55790"/>
    <w:rsid w:val="00B56481"/>
    <w:rsid w:val="00B638D2"/>
    <w:rsid w:val="00B64FBF"/>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096C"/>
    <w:rsid w:val="00C62B12"/>
    <w:rsid w:val="00C6416F"/>
    <w:rsid w:val="00C75C38"/>
    <w:rsid w:val="00C8055E"/>
    <w:rsid w:val="00C943B1"/>
    <w:rsid w:val="00C96EBC"/>
    <w:rsid w:val="00CB0D66"/>
    <w:rsid w:val="00CB701F"/>
    <w:rsid w:val="00CC579E"/>
    <w:rsid w:val="00CD2519"/>
    <w:rsid w:val="00CE38E5"/>
    <w:rsid w:val="00CF679B"/>
    <w:rsid w:val="00CF690A"/>
    <w:rsid w:val="00CF693D"/>
    <w:rsid w:val="00D02CA3"/>
    <w:rsid w:val="00D14EF5"/>
    <w:rsid w:val="00D1748E"/>
    <w:rsid w:val="00D17BF9"/>
    <w:rsid w:val="00D20261"/>
    <w:rsid w:val="00D25BFE"/>
    <w:rsid w:val="00D260A5"/>
    <w:rsid w:val="00D33C8C"/>
    <w:rsid w:val="00D37359"/>
    <w:rsid w:val="00D41E2F"/>
    <w:rsid w:val="00D50406"/>
    <w:rsid w:val="00D74737"/>
    <w:rsid w:val="00D8140B"/>
    <w:rsid w:val="00D81747"/>
    <w:rsid w:val="00D90167"/>
    <w:rsid w:val="00D91FE3"/>
    <w:rsid w:val="00D96ABB"/>
    <w:rsid w:val="00DB745B"/>
    <w:rsid w:val="00DD76C0"/>
    <w:rsid w:val="00DE41B0"/>
    <w:rsid w:val="00DF2E7F"/>
    <w:rsid w:val="00DF5DD2"/>
    <w:rsid w:val="00DF63A3"/>
    <w:rsid w:val="00E10712"/>
    <w:rsid w:val="00E13746"/>
    <w:rsid w:val="00E173DF"/>
    <w:rsid w:val="00E24AD3"/>
    <w:rsid w:val="00E449C8"/>
    <w:rsid w:val="00E46E7F"/>
    <w:rsid w:val="00E61AB7"/>
    <w:rsid w:val="00E6378E"/>
    <w:rsid w:val="00E65682"/>
    <w:rsid w:val="00E65D88"/>
    <w:rsid w:val="00E71858"/>
    <w:rsid w:val="00E73849"/>
    <w:rsid w:val="00E75483"/>
    <w:rsid w:val="00E913EB"/>
    <w:rsid w:val="00EB09C6"/>
    <w:rsid w:val="00EC0A6F"/>
    <w:rsid w:val="00ED6010"/>
    <w:rsid w:val="00ED7561"/>
    <w:rsid w:val="00EE7421"/>
    <w:rsid w:val="00F07B44"/>
    <w:rsid w:val="00F12074"/>
    <w:rsid w:val="00F1413B"/>
    <w:rsid w:val="00F15F15"/>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B7FD-38D0-4ECA-822C-8455474F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5329</TotalTime>
  <Pages>21</Pages>
  <Words>8421</Words>
  <Characters>48004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597</cp:revision>
  <cp:lastPrinted>2021-07-14T09:18:00Z</cp:lastPrinted>
  <dcterms:created xsi:type="dcterms:W3CDTF">2014-12-14T06:51:00Z</dcterms:created>
  <dcterms:modified xsi:type="dcterms:W3CDTF">2021-10-06T07:00:00Z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