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175" w:rsidRDefault="00683175" w:rsidP="00683175">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83175" w:rsidRDefault="00683175" w:rsidP="00683175">
      <w:pPr>
        <w:numPr>
          <w:ilvl w:val="1"/>
          <w:numId w:val="1"/>
        </w:numPr>
        <w:tabs>
          <w:tab w:val="num" w:pos="0"/>
          <w:tab w:val="num" w:pos="432"/>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 А</w:t>
      </w:r>
      <w:r>
        <w:rPr>
          <w:rFonts w:ascii="Times New Roman" w:hAnsi="Times New Roman" w:cs="Times New Roman"/>
          <w:sz w:val="24"/>
          <w:szCs w:val="24"/>
          <w:u w:val="single"/>
        </w:rPr>
        <w:t xml:space="preserve">укцион </w:t>
      </w:r>
      <w:r w:rsidR="00891905">
        <w:rPr>
          <w:rFonts w:ascii="Times New Roman" w:hAnsi="Times New Roman" w:cs="Times New Roman"/>
          <w:sz w:val="24"/>
          <w:szCs w:val="24"/>
          <w:u w:val="single"/>
        </w:rPr>
        <w:t xml:space="preserve">в электронной форме </w:t>
      </w:r>
      <w:r>
        <w:rPr>
          <w:rFonts w:ascii="Times New Roman" w:hAnsi="Times New Roman" w:cs="Times New Roman"/>
          <w:sz w:val="24"/>
          <w:szCs w:val="24"/>
          <w:u w:val="single"/>
        </w:rPr>
        <w:t xml:space="preserve"> на право заключения гражданско-правового договора на поставку продуктов питания.</w:t>
      </w:r>
    </w:p>
    <w:p w:rsidR="00683175" w:rsidRDefault="00683175" w:rsidP="00683175">
      <w:pPr>
        <w:numPr>
          <w:ilvl w:val="1"/>
          <w:numId w:val="1"/>
        </w:numPr>
        <w:tabs>
          <w:tab w:val="num" w:pos="0"/>
          <w:tab w:val="left" w:pos="142"/>
          <w:tab w:val="num" w:pos="432"/>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проводит: уполномоченный орган</w:t>
      </w:r>
    </w:p>
    <w:p w:rsidR="00683175" w:rsidRDefault="00683175" w:rsidP="00683175">
      <w:pPr>
        <w:numPr>
          <w:ilvl w:val="1"/>
          <w:numId w:val="1"/>
        </w:numPr>
        <w:tabs>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683175" w:rsidRDefault="00683175" w:rsidP="00683175">
      <w:pPr>
        <w:numPr>
          <w:ilvl w:val="1"/>
          <w:numId w:val="1"/>
        </w:numPr>
        <w:tabs>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683175" w:rsidRDefault="00683175" w:rsidP="00683175">
      <w:pPr>
        <w:numPr>
          <w:ilvl w:val="1"/>
          <w:numId w:val="1"/>
        </w:numPr>
        <w:tabs>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683175" w:rsidRDefault="00683175" w:rsidP="00683175">
      <w:pPr>
        <w:numPr>
          <w:ilvl w:val="1"/>
          <w:numId w:val="1"/>
        </w:numPr>
        <w:tabs>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-62007@</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683175" w:rsidRDefault="00683175" w:rsidP="0068317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 (34675) 2-66-23.</w:t>
      </w:r>
    </w:p>
    <w:p w:rsidR="00683175" w:rsidRDefault="00683175" w:rsidP="006831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p w:rsidR="00683175" w:rsidRDefault="00683175" w:rsidP="00683175">
      <w:pPr>
        <w:numPr>
          <w:ilvl w:val="1"/>
          <w:numId w:val="1"/>
        </w:numPr>
        <w:tabs>
          <w:tab w:val="num" w:pos="0"/>
          <w:tab w:val="num" w:pos="432"/>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Уполномоченный орган (учреждение): Администрация города Югорска.</w:t>
      </w:r>
    </w:p>
    <w:p w:rsidR="00683175" w:rsidRDefault="00683175" w:rsidP="006831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683175" w:rsidRDefault="00683175" w:rsidP="0068317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83175" w:rsidRDefault="00683175" w:rsidP="00683175">
      <w:pPr>
        <w:numPr>
          <w:ilvl w:val="0"/>
          <w:numId w:val="1"/>
        </w:numPr>
        <w:tabs>
          <w:tab w:val="num" w:pos="0"/>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omz@ugorsk.ru .</w:t>
      </w:r>
    </w:p>
    <w:p w:rsidR="00683175" w:rsidRDefault="00683175" w:rsidP="00683175">
      <w:pPr>
        <w:numPr>
          <w:ilvl w:val="0"/>
          <w:numId w:val="1"/>
        </w:numPr>
        <w:tabs>
          <w:tab w:val="num" w:pos="0"/>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683175" w:rsidRDefault="00683175" w:rsidP="00683175">
      <w:pPr>
        <w:numPr>
          <w:ilvl w:val="0"/>
          <w:numId w:val="1"/>
        </w:numPr>
        <w:tabs>
          <w:tab w:val="num" w:pos="0"/>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683175" w:rsidRDefault="00683175" w:rsidP="00683175">
      <w:pPr>
        <w:numPr>
          <w:ilvl w:val="1"/>
          <w:numId w:val="1"/>
        </w:numPr>
        <w:tabs>
          <w:tab w:val="num" w:pos="0"/>
          <w:tab w:val="num" w:pos="432"/>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683175" w:rsidRDefault="00683175" w:rsidP="00683175">
      <w:pPr>
        <w:numPr>
          <w:ilvl w:val="0"/>
          <w:numId w:val="1"/>
        </w:numPr>
        <w:tabs>
          <w:tab w:val="num" w:pos="0"/>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Pr>
            <w:rStyle w:val="a3"/>
            <w:rFonts w:ascii="Times New Roman" w:hAnsi="Times New Roman"/>
            <w:sz w:val="24"/>
            <w:szCs w:val="24"/>
          </w:rPr>
          <w:t>http://</w:t>
        </w:r>
        <w:proofErr w:type="spellStart"/>
        <w:r>
          <w:rPr>
            <w:rStyle w:val="a3"/>
            <w:rFonts w:ascii="Times New Roman" w:hAnsi="Times New Roman"/>
            <w:sz w:val="24"/>
            <w:szCs w:val="24"/>
            <w:lang w:val="en-US"/>
          </w:rPr>
          <w:t>sberbank</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ast</w:t>
        </w:r>
        <w:proofErr w:type="spellEnd"/>
        <w:r>
          <w:rPr>
            <w:rStyle w:val="a3"/>
            <w:rFonts w:ascii="Times New Roman" w:hAnsi="Times New Roman"/>
            <w:sz w:val="24"/>
            <w:szCs w:val="24"/>
          </w:rPr>
          <w:t>.</w:t>
        </w:r>
        <w:proofErr w:type="spellStart"/>
        <w:r>
          <w:rPr>
            <w:rStyle w:val="a3"/>
            <w:rFonts w:ascii="Times New Roman" w:hAnsi="Times New Roman"/>
            <w:sz w:val="24"/>
            <w:szCs w:val="24"/>
          </w:rPr>
          <w:t>ru</w:t>
        </w:r>
        <w:proofErr w:type="spellEnd"/>
        <w:r>
          <w:rPr>
            <w:rStyle w:val="a3"/>
            <w:rFonts w:ascii="Times New Roman" w:hAnsi="Times New Roman"/>
            <w:sz w:val="24"/>
            <w:szCs w:val="24"/>
          </w:rPr>
          <w:t>/</w:t>
        </w:r>
      </w:hyperlink>
      <w:r>
        <w:rPr>
          <w:rFonts w:ascii="Times New Roman" w:hAnsi="Times New Roman" w:cs="Times New Roman"/>
          <w:sz w:val="24"/>
          <w:szCs w:val="24"/>
          <w:u w:val="single"/>
        </w:rPr>
        <w:t>.</w:t>
      </w:r>
    </w:p>
    <w:p w:rsidR="00683175" w:rsidRDefault="00683175" w:rsidP="00683175">
      <w:pPr>
        <w:numPr>
          <w:ilvl w:val="0"/>
          <w:numId w:val="1"/>
        </w:numPr>
        <w:tabs>
          <w:tab w:val="num" w:pos="0"/>
          <w:tab w:val="num" w:pos="36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4960"/>
        <w:gridCol w:w="662"/>
        <w:gridCol w:w="991"/>
        <w:gridCol w:w="850"/>
        <w:gridCol w:w="1133"/>
      </w:tblGrid>
      <w:tr w:rsidR="00683175" w:rsidTr="00683175">
        <w:tc>
          <w:tcPr>
            <w:tcW w:w="8457" w:type="dxa"/>
            <w:gridSpan w:val="5"/>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83175" w:rsidTr="00683175">
        <w:tc>
          <w:tcPr>
            <w:tcW w:w="568" w:type="dxa"/>
            <w:tcBorders>
              <w:top w:val="single" w:sz="4" w:space="0" w:color="auto"/>
              <w:left w:val="single" w:sz="4" w:space="0" w:color="auto"/>
              <w:bottom w:val="single" w:sz="4" w:space="0" w:color="auto"/>
              <w:right w:val="single" w:sz="4" w:space="0" w:color="auto"/>
            </w:tcBorders>
            <w:hideMark/>
          </w:tcPr>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683175" w:rsidRDefault="00683175">
            <w:pPr>
              <w:pStyle w:val="a4"/>
              <w:autoSpaceDE w:val="0"/>
              <w:autoSpaceDN w:val="0"/>
              <w:adjustRightInd w:val="0"/>
              <w:spacing w:before="0" w:beforeAutospacing="0" w:after="0" w:afterAutospacing="0" w:line="276" w:lineRule="auto"/>
              <w:jc w:val="center"/>
              <w:rPr>
                <w:sz w:val="20"/>
                <w:szCs w:val="20"/>
              </w:rPr>
            </w:pPr>
          </w:p>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960" w:type="dxa"/>
            <w:tcBorders>
              <w:top w:val="single" w:sz="4" w:space="0" w:color="auto"/>
              <w:left w:val="single" w:sz="4" w:space="0" w:color="auto"/>
              <w:bottom w:val="single" w:sz="4" w:space="0" w:color="auto"/>
              <w:right w:val="single" w:sz="4" w:space="0" w:color="auto"/>
            </w:tcBorders>
            <w:hideMark/>
          </w:tcPr>
          <w:p w:rsidR="00683175" w:rsidRDefault="00683175">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662" w:type="dxa"/>
            <w:tcBorders>
              <w:top w:val="single" w:sz="4" w:space="0" w:color="auto"/>
              <w:left w:val="single" w:sz="4" w:space="0" w:color="auto"/>
              <w:bottom w:val="single" w:sz="4" w:space="0" w:color="auto"/>
              <w:right w:val="single" w:sz="4" w:space="0" w:color="auto"/>
            </w:tcBorders>
            <w:hideMark/>
          </w:tcPr>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3175" w:rsidRDefault="00683175">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83175" w:rsidRDefault="00683175">
            <w:pPr>
              <w:spacing w:after="0" w:line="240" w:lineRule="auto"/>
              <w:rPr>
                <w:rFonts w:ascii="Times New Roman" w:hAnsi="Times New Roman" w:cs="Times New Roman"/>
                <w:sz w:val="20"/>
                <w:szCs w:val="20"/>
              </w:rPr>
            </w:pPr>
          </w:p>
        </w:tc>
      </w:tr>
      <w:tr w:rsidR="00683175" w:rsidTr="00683175">
        <w:tc>
          <w:tcPr>
            <w:tcW w:w="568" w:type="dxa"/>
            <w:tcBorders>
              <w:top w:val="single" w:sz="4" w:space="0" w:color="auto"/>
              <w:left w:val="single" w:sz="4" w:space="0" w:color="auto"/>
              <w:bottom w:val="single" w:sz="4" w:space="0" w:color="auto"/>
              <w:right w:val="single" w:sz="4" w:space="0" w:color="auto"/>
            </w:tcBorders>
            <w:hideMark/>
          </w:tcPr>
          <w:p w:rsidR="00683175" w:rsidRPr="00511FAC" w:rsidRDefault="00683175">
            <w:pPr>
              <w:pStyle w:val="a4"/>
              <w:autoSpaceDE w:val="0"/>
              <w:autoSpaceDN w:val="0"/>
              <w:adjustRightInd w:val="0"/>
              <w:spacing w:before="0" w:beforeAutospacing="0" w:after="0" w:afterAutospacing="0" w:line="276" w:lineRule="auto"/>
              <w:jc w:val="both"/>
              <w:rPr>
                <w:sz w:val="20"/>
                <w:szCs w:val="20"/>
              </w:rPr>
            </w:pPr>
            <w:r w:rsidRPr="00511FAC">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683175" w:rsidRPr="00511FAC" w:rsidRDefault="00683175">
            <w:pPr>
              <w:pStyle w:val="a4"/>
              <w:autoSpaceDE w:val="0"/>
              <w:autoSpaceDN w:val="0"/>
              <w:adjustRightInd w:val="0"/>
              <w:spacing w:before="0" w:beforeAutospacing="0" w:after="0" w:afterAutospacing="0" w:line="276" w:lineRule="auto"/>
              <w:jc w:val="both"/>
              <w:rPr>
                <w:sz w:val="20"/>
                <w:szCs w:val="20"/>
              </w:rPr>
            </w:pPr>
            <w:r w:rsidRPr="00511FAC">
              <w:rPr>
                <w:rStyle w:val="iceouttxt6"/>
                <w:rFonts w:ascii="Times New Roman" w:hAnsi="Times New Roman" w:cs="Times New Roman"/>
                <w:color w:val="auto"/>
                <w:sz w:val="20"/>
                <w:szCs w:val="20"/>
              </w:rPr>
              <w:t>10.20.13.122</w:t>
            </w:r>
          </w:p>
        </w:tc>
        <w:tc>
          <w:tcPr>
            <w:tcW w:w="4960" w:type="dxa"/>
            <w:tcBorders>
              <w:top w:val="single" w:sz="4" w:space="0" w:color="auto"/>
              <w:left w:val="single" w:sz="4" w:space="0" w:color="auto"/>
              <w:bottom w:val="single" w:sz="4" w:space="0" w:color="auto"/>
              <w:right w:val="single" w:sz="4" w:space="0" w:color="auto"/>
            </w:tcBorders>
            <w:hideMark/>
          </w:tcPr>
          <w:p w:rsidR="00683175" w:rsidRPr="00511FAC" w:rsidRDefault="007346B4">
            <w:pPr>
              <w:pStyle w:val="a4"/>
              <w:autoSpaceDE w:val="0"/>
              <w:autoSpaceDN w:val="0"/>
              <w:adjustRightInd w:val="0"/>
              <w:spacing w:before="0" w:beforeAutospacing="0" w:after="0" w:afterAutospacing="0" w:line="276" w:lineRule="auto"/>
              <w:ind w:right="-108"/>
              <w:jc w:val="both"/>
              <w:rPr>
                <w:sz w:val="20"/>
                <w:szCs w:val="20"/>
              </w:rPr>
            </w:pPr>
            <w:r>
              <w:rPr>
                <w:rStyle w:val="iceouttxt6"/>
                <w:rFonts w:ascii="Times New Roman" w:hAnsi="Times New Roman" w:cs="Times New Roman"/>
                <w:color w:val="auto"/>
                <w:sz w:val="20"/>
                <w:szCs w:val="20"/>
              </w:rPr>
              <w:t xml:space="preserve">Горбуша. </w:t>
            </w:r>
            <w:r w:rsidR="00683175" w:rsidRPr="00511FAC">
              <w:rPr>
                <w:rStyle w:val="iceouttxt6"/>
                <w:rFonts w:ascii="Times New Roman" w:hAnsi="Times New Roman" w:cs="Times New Roman"/>
                <w:color w:val="auto"/>
                <w:sz w:val="20"/>
                <w:szCs w:val="20"/>
              </w:rPr>
              <w:t>Мороженая, потрошеная, с головой, тушки рыбы непобитые, с чистой поверхностью и естественной окраской, консистенция после оттаивания плотная, с запахом свежей рыбы, в упаковке весом в диапазоне не менее 18 кг и не более 24 кг, упаковка без повреждений. ГОСТ 32366-2013</w:t>
            </w:r>
          </w:p>
        </w:tc>
        <w:tc>
          <w:tcPr>
            <w:tcW w:w="662" w:type="dxa"/>
            <w:tcBorders>
              <w:top w:val="single" w:sz="4" w:space="0" w:color="auto"/>
              <w:left w:val="single" w:sz="4" w:space="0" w:color="auto"/>
              <w:bottom w:val="single" w:sz="4" w:space="0" w:color="auto"/>
              <w:right w:val="single" w:sz="4" w:space="0" w:color="auto"/>
            </w:tcBorders>
            <w:hideMark/>
          </w:tcPr>
          <w:p w:rsidR="00683175" w:rsidRPr="00511FAC" w:rsidRDefault="00683175">
            <w:pPr>
              <w:pStyle w:val="a4"/>
              <w:autoSpaceDE w:val="0"/>
              <w:autoSpaceDN w:val="0"/>
              <w:adjustRightInd w:val="0"/>
              <w:spacing w:before="0" w:beforeAutospacing="0" w:after="0" w:afterAutospacing="0" w:line="276" w:lineRule="auto"/>
              <w:jc w:val="both"/>
              <w:rPr>
                <w:sz w:val="20"/>
                <w:szCs w:val="20"/>
              </w:rPr>
            </w:pPr>
            <w:proofErr w:type="spellStart"/>
            <w:proofErr w:type="gramStart"/>
            <w:r w:rsidRPr="00511FAC">
              <w:rPr>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683175" w:rsidRPr="00511FAC" w:rsidRDefault="00683175">
            <w:pPr>
              <w:autoSpaceDE w:val="0"/>
              <w:autoSpaceDN w:val="0"/>
              <w:adjustRightInd w:val="0"/>
              <w:jc w:val="both"/>
              <w:rPr>
                <w:rFonts w:ascii="Times New Roman" w:hAnsi="Times New Roman" w:cs="Times New Roman"/>
                <w:sz w:val="20"/>
                <w:szCs w:val="20"/>
              </w:rPr>
            </w:pPr>
            <w:r w:rsidRPr="00511FAC">
              <w:rPr>
                <w:rFonts w:ascii="Times New Roman" w:hAnsi="Times New Roman" w:cs="Times New Roman"/>
                <w:sz w:val="20"/>
                <w:szCs w:val="20"/>
              </w:rPr>
              <w:t>1750</w:t>
            </w:r>
          </w:p>
        </w:tc>
        <w:tc>
          <w:tcPr>
            <w:tcW w:w="850" w:type="dxa"/>
            <w:tcBorders>
              <w:top w:val="single" w:sz="4" w:space="0" w:color="auto"/>
              <w:left w:val="single" w:sz="4" w:space="0" w:color="auto"/>
              <w:bottom w:val="single" w:sz="4" w:space="0" w:color="auto"/>
              <w:right w:val="single" w:sz="4" w:space="0" w:color="auto"/>
            </w:tcBorders>
            <w:hideMark/>
          </w:tcPr>
          <w:p w:rsidR="00683175" w:rsidRPr="00511FAC" w:rsidRDefault="00683175">
            <w:pPr>
              <w:spacing w:after="0" w:line="240" w:lineRule="auto"/>
              <w:rPr>
                <w:rFonts w:ascii="Times New Roman" w:hAnsi="Times New Roman" w:cs="Times New Roman"/>
                <w:sz w:val="20"/>
                <w:szCs w:val="20"/>
              </w:rPr>
            </w:pPr>
            <w:r w:rsidRPr="00511FAC">
              <w:rPr>
                <w:rFonts w:ascii="Times New Roman" w:hAnsi="Times New Roman" w:cs="Times New Roman"/>
                <w:sz w:val="20"/>
                <w:szCs w:val="20"/>
              </w:rPr>
              <w:t>295,00</w:t>
            </w:r>
          </w:p>
        </w:tc>
        <w:tc>
          <w:tcPr>
            <w:tcW w:w="1133" w:type="dxa"/>
            <w:tcBorders>
              <w:top w:val="single" w:sz="4" w:space="0" w:color="auto"/>
              <w:left w:val="single" w:sz="4" w:space="0" w:color="auto"/>
              <w:bottom w:val="single" w:sz="4" w:space="0" w:color="auto"/>
              <w:right w:val="single" w:sz="4" w:space="0" w:color="auto"/>
            </w:tcBorders>
            <w:hideMark/>
          </w:tcPr>
          <w:p w:rsidR="00683175" w:rsidRPr="00511FAC" w:rsidRDefault="00683175">
            <w:pPr>
              <w:spacing w:after="0" w:line="240" w:lineRule="auto"/>
              <w:rPr>
                <w:rFonts w:ascii="Times New Roman" w:hAnsi="Times New Roman" w:cs="Times New Roman"/>
                <w:sz w:val="20"/>
                <w:szCs w:val="20"/>
              </w:rPr>
            </w:pPr>
            <w:r w:rsidRPr="00511FAC">
              <w:rPr>
                <w:rStyle w:val="iceouttxt6"/>
                <w:rFonts w:ascii="Times New Roman" w:hAnsi="Times New Roman" w:cs="Times New Roman"/>
                <w:color w:val="auto"/>
                <w:sz w:val="20"/>
                <w:szCs w:val="20"/>
              </w:rPr>
              <w:t>516 250,00</w:t>
            </w:r>
          </w:p>
        </w:tc>
      </w:tr>
      <w:tr w:rsidR="00683175" w:rsidTr="00683175">
        <w:tc>
          <w:tcPr>
            <w:tcW w:w="568" w:type="dxa"/>
            <w:tcBorders>
              <w:top w:val="single" w:sz="4" w:space="0" w:color="auto"/>
              <w:left w:val="single" w:sz="4" w:space="0" w:color="auto"/>
              <w:bottom w:val="single" w:sz="4" w:space="0" w:color="auto"/>
              <w:right w:val="single" w:sz="4" w:space="0" w:color="auto"/>
            </w:tcBorders>
            <w:hideMark/>
          </w:tcPr>
          <w:p w:rsidR="00683175" w:rsidRPr="00511FAC" w:rsidRDefault="00683175">
            <w:pPr>
              <w:pStyle w:val="a4"/>
              <w:autoSpaceDE w:val="0"/>
              <w:autoSpaceDN w:val="0"/>
              <w:adjustRightInd w:val="0"/>
              <w:spacing w:before="0" w:beforeAutospacing="0" w:after="0" w:afterAutospacing="0" w:line="276" w:lineRule="auto"/>
              <w:jc w:val="both"/>
              <w:rPr>
                <w:sz w:val="20"/>
                <w:szCs w:val="20"/>
              </w:rPr>
            </w:pPr>
            <w:r w:rsidRPr="00511FAC">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83175" w:rsidRPr="00511FAC" w:rsidRDefault="00683175">
            <w:pPr>
              <w:pStyle w:val="a4"/>
              <w:autoSpaceDE w:val="0"/>
              <w:autoSpaceDN w:val="0"/>
              <w:adjustRightInd w:val="0"/>
              <w:spacing w:before="0" w:beforeAutospacing="0" w:after="0" w:afterAutospacing="0" w:line="276" w:lineRule="auto"/>
              <w:jc w:val="both"/>
              <w:rPr>
                <w:sz w:val="20"/>
                <w:szCs w:val="20"/>
              </w:rPr>
            </w:pPr>
            <w:r w:rsidRPr="00511FAC">
              <w:rPr>
                <w:rStyle w:val="iceouttxt6"/>
                <w:rFonts w:ascii="Times New Roman" w:hAnsi="Times New Roman" w:cs="Times New Roman"/>
                <w:color w:val="auto"/>
                <w:sz w:val="20"/>
                <w:szCs w:val="20"/>
              </w:rPr>
              <w:t>10.20.13.122</w:t>
            </w:r>
          </w:p>
        </w:tc>
        <w:tc>
          <w:tcPr>
            <w:tcW w:w="4960" w:type="dxa"/>
            <w:tcBorders>
              <w:top w:val="single" w:sz="4" w:space="0" w:color="auto"/>
              <w:left w:val="single" w:sz="4" w:space="0" w:color="auto"/>
              <w:bottom w:val="single" w:sz="4" w:space="0" w:color="auto"/>
              <w:right w:val="single" w:sz="4" w:space="0" w:color="auto"/>
            </w:tcBorders>
            <w:hideMark/>
          </w:tcPr>
          <w:p w:rsidR="00683175" w:rsidRPr="00511FAC" w:rsidRDefault="007346B4">
            <w:pPr>
              <w:pStyle w:val="a4"/>
              <w:autoSpaceDE w:val="0"/>
              <w:autoSpaceDN w:val="0"/>
              <w:adjustRightInd w:val="0"/>
              <w:spacing w:before="0" w:beforeAutospacing="0" w:after="0" w:afterAutospacing="0" w:line="276" w:lineRule="auto"/>
              <w:ind w:right="-108"/>
              <w:jc w:val="both"/>
              <w:rPr>
                <w:sz w:val="20"/>
                <w:szCs w:val="20"/>
              </w:rPr>
            </w:pPr>
            <w:r>
              <w:rPr>
                <w:rStyle w:val="iceouttxt6"/>
                <w:rFonts w:ascii="Times New Roman" w:hAnsi="Times New Roman" w:cs="Times New Roman"/>
                <w:color w:val="auto"/>
                <w:sz w:val="20"/>
                <w:szCs w:val="20"/>
              </w:rPr>
              <w:t xml:space="preserve">Минтай. </w:t>
            </w:r>
            <w:proofErr w:type="gramStart"/>
            <w:r w:rsidR="00683175" w:rsidRPr="00511FAC">
              <w:rPr>
                <w:rStyle w:val="iceouttxt6"/>
                <w:rFonts w:ascii="Times New Roman" w:hAnsi="Times New Roman" w:cs="Times New Roman"/>
                <w:color w:val="auto"/>
                <w:sz w:val="20"/>
                <w:szCs w:val="20"/>
              </w:rPr>
              <w:t>Мороженый</w:t>
            </w:r>
            <w:proofErr w:type="gramEnd"/>
            <w:r w:rsidR="00683175" w:rsidRPr="00511FAC">
              <w:rPr>
                <w:rStyle w:val="iceouttxt6"/>
                <w:rFonts w:ascii="Times New Roman" w:hAnsi="Times New Roman" w:cs="Times New Roman"/>
                <w:color w:val="auto"/>
                <w:sz w:val="20"/>
                <w:szCs w:val="20"/>
              </w:rPr>
              <w:t>, потрошеный, обезглавленный, тушки рыбы являются непобитыми, с чистой поверхностью и естественной окраской, консистенция после оттаивания плотной, с запахом свежей рыбы. Упаковка весом в диапазоне не менее 18 кг и не более 24 кг, без повреждений. ГОСТ 1168 - 86</w:t>
            </w:r>
          </w:p>
        </w:tc>
        <w:tc>
          <w:tcPr>
            <w:tcW w:w="662" w:type="dxa"/>
            <w:tcBorders>
              <w:top w:val="single" w:sz="4" w:space="0" w:color="auto"/>
              <w:left w:val="single" w:sz="4" w:space="0" w:color="auto"/>
              <w:bottom w:val="single" w:sz="4" w:space="0" w:color="auto"/>
              <w:right w:val="single" w:sz="4" w:space="0" w:color="auto"/>
            </w:tcBorders>
            <w:hideMark/>
          </w:tcPr>
          <w:p w:rsidR="00683175" w:rsidRPr="00511FAC" w:rsidRDefault="00683175">
            <w:pPr>
              <w:pStyle w:val="a4"/>
              <w:autoSpaceDE w:val="0"/>
              <w:autoSpaceDN w:val="0"/>
              <w:adjustRightInd w:val="0"/>
              <w:spacing w:before="0" w:beforeAutospacing="0" w:after="0" w:afterAutospacing="0" w:line="276" w:lineRule="auto"/>
              <w:jc w:val="both"/>
              <w:rPr>
                <w:sz w:val="20"/>
                <w:szCs w:val="20"/>
              </w:rPr>
            </w:pPr>
            <w:proofErr w:type="spellStart"/>
            <w:proofErr w:type="gramStart"/>
            <w:r w:rsidRPr="00511FAC">
              <w:rPr>
                <w:sz w:val="20"/>
                <w:szCs w:val="20"/>
              </w:rPr>
              <w:t>шт</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683175" w:rsidRPr="00511FAC" w:rsidRDefault="00683175">
            <w:pPr>
              <w:autoSpaceDE w:val="0"/>
              <w:autoSpaceDN w:val="0"/>
              <w:adjustRightInd w:val="0"/>
              <w:jc w:val="both"/>
              <w:rPr>
                <w:rFonts w:ascii="Times New Roman" w:hAnsi="Times New Roman" w:cs="Times New Roman"/>
                <w:sz w:val="20"/>
                <w:szCs w:val="20"/>
              </w:rPr>
            </w:pPr>
            <w:r w:rsidRPr="00511FAC">
              <w:rPr>
                <w:rFonts w:ascii="Times New Roman" w:hAnsi="Times New Roman" w:cs="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hideMark/>
          </w:tcPr>
          <w:p w:rsidR="00683175" w:rsidRPr="00511FAC" w:rsidRDefault="00683175">
            <w:pPr>
              <w:spacing w:after="0" w:line="240" w:lineRule="auto"/>
              <w:rPr>
                <w:rFonts w:ascii="Times New Roman" w:hAnsi="Times New Roman" w:cs="Times New Roman"/>
                <w:sz w:val="20"/>
                <w:szCs w:val="20"/>
              </w:rPr>
            </w:pPr>
            <w:r w:rsidRPr="00511FAC">
              <w:rPr>
                <w:rFonts w:ascii="Times New Roman" w:hAnsi="Times New Roman" w:cs="Times New Roman"/>
                <w:sz w:val="20"/>
                <w:szCs w:val="20"/>
              </w:rPr>
              <w:t>148,33</w:t>
            </w:r>
          </w:p>
        </w:tc>
        <w:tc>
          <w:tcPr>
            <w:tcW w:w="1133"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917"/>
            </w:tblGrid>
            <w:tr w:rsidR="00683175" w:rsidRPr="00683175">
              <w:trPr>
                <w:tblCellSpacing w:w="0" w:type="dxa"/>
              </w:trPr>
              <w:tc>
                <w:tcPr>
                  <w:tcW w:w="9385" w:type="dxa"/>
                  <w:vAlign w:val="center"/>
                  <w:hideMark/>
                </w:tcPr>
                <w:p w:rsidR="00683175" w:rsidRPr="00683175" w:rsidRDefault="00683175" w:rsidP="00683175">
                  <w:pPr>
                    <w:spacing w:after="0" w:line="240" w:lineRule="auto"/>
                    <w:rPr>
                      <w:rFonts w:ascii="Times New Roman" w:eastAsia="Times New Roman" w:hAnsi="Times New Roman" w:cs="Times New Roman"/>
                      <w:sz w:val="20"/>
                      <w:szCs w:val="20"/>
                    </w:rPr>
                  </w:pPr>
                  <w:r w:rsidRPr="00511FAC">
                    <w:rPr>
                      <w:rFonts w:ascii="Times New Roman" w:eastAsia="Times New Roman" w:hAnsi="Times New Roman" w:cs="Times New Roman"/>
                      <w:sz w:val="20"/>
                      <w:szCs w:val="20"/>
                    </w:rPr>
                    <w:t>296 660,00</w:t>
                  </w:r>
                </w:p>
              </w:tc>
            </w:tr>
          </w:tbl>
          <w:p w:rsidR="00683175" w:rsidRPr="00511FAC" w:rsidRDefault="00683175">
            <w:pPr>
              <w:spacing w:after="0" w:line="240" w:lineRule="auto"/>
              <w:rPr>
                <w:rFonts w:ascii="Times New Roman" w:hAnsi="Times New Roman" w:cs="Times New Roman"/>
                <w:sz w:val="20"/>
                <w:szCs w:val="20"/>
              </w:rPr>
            </w:pPr>
          </w:p>
        </w:tc>
      </w:tr>
      <w:tr w:rsidR="00683175" w:rsidTr="00683175">
        <w:trPr>
          <w:trHeight w:val="270"/>
        </w:trPr>
        <w:tc>
          <w:tcPr>
            <w:tcW w:w="9307" w:type="dxa"/>
            <w:gridSpan w:val="6"/>
            <w:tcBorders>
              <w:top w:val="single" w:sz="4" w:space="0" w:color="auto"/>
              <w:left w:val="single" w:sz="4" w:space="0" w:color="auto"/>
              <w:bottom w:val="single" w:sz="4" w:space="0" w:color="auto"/>
              <w:right w:val="single" w:sz="4" w:space="0" w:color="auto"/>
            </w:tcBorders>
            <w:hideMark/>
          </w:tcPr>
          <w:p w:rsidR="00683175" w:rsidRPr="00511FAC" w:rsidRDefault="00683175">
            <w:pPr>
              <w:jc w:val="center"/>
              <w:rPr>
                <w:rFonts w:ascii="Times New Roman" w:hAnsi="Times New Roman" w:cs="Times New Roman"/>
                <w:sz w:val="20"/>
                <w:szCs w:val="20"/>
              </w:rPr>
            </w:pPr>
            <w:r w:rsidRPr="00511FAC">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683175" w:rsidRPr="00511FAC" w:rsidRDefault="00683175">
            <w:pPr>
              <w:spacing w:after="0" w:line="240" w:lineRule="auto"/>
              <w:rPr>
                <w:rFonts w:ascii="Times New Roman" w:eastAsia="Times New Roman" w:hAnsi="Times New Roman" w:cs="Times New Roman"/>
                <w:sz w:val="20"/>
                <w:szCs w:val="20"/>
              </w:rPr>
            </w:pPr>
            <w:r w:rsidRPr="00511FAC">
              <w:rPr>
                <w:rStyle w:val="iceouttxt6"/>
                <w:rFonts w:ascii="Times New Roman" w:hAnsi="Times New Roman" w:cs="Times New Roman"/>
                <w:color w:val="auto"/>
                <w:sz w:val="20"/>
                <w:szCs w:val="20"/>
              </w:rPr>
              <w:t>812 910,00</w:t>
            </w:r>
          </w:p>
        </w:tc>
      </w:tr>
    </w:tbl>
    <w:p w:rsidR="00891905" w:rsidRDefault="00891905" w:rsidP="00891905">
      <w:pPr>
        <w:tabs>
          <w:tab w:val="num" w:pos="928"/>
        </w:tabs>
        <w:autoSpaceDE w:val="0"/>
        <w:autoSpaceDN w:val="0"/>
        <w:adjustRightInd w:val="0"/>
        <w:spacing w:after="0" w:line="240" w:lineRule="auto"/>
        <w:jc w:val="both"/>
        <w:rPr>
          <w:rFonts w:ascii="Times New Roman" w:hAnsi="Times New Roman" w:cs="Times New Roman"/>
          <w:sz w:val="24"/>
          <w:szCs w:val="24"/>
        </w:rPr>
      </w:pPr>
    </w:p>
    <w:p w:rsidR="00891905" w:rsidRDefault="00891905" w:rsidP="00891905">
      <w:pPr>
        <w:tabs>
          <w:tab w:val="num" w:pos="928"/>
        </w:tabs>
        <w:autoSpaceDE w:val="0"/>
        <w:autoSpaceDN w:val="0"/>
        <w:adjustRightInd w:val="0"/>
        <w:spacing w:after="0" w:line="240" w:lineRule="auto"/>
        <w:jc w:val="both"/>
        <w:rPr>
          <w:rFonts w:ascii="Times New Roman" w:hAnsi="Times New Roman" w:cs="Times New Roman"/>
          <w:sz w:val="24"/>
          <w:szCs w:val="24"/>
        </w:rPr>
      </w:pPr>
    </w:p>
    <w:p w:rsidR="00891905" w:rsidRDefault="00891905" w:rsidP="00891905">
      <w:pPr>
        <w:tabs>
          <w:tab w:val="num" w:pos="928"/>
        </w:tabs>
        <w:autoSpaceDE w:val="0"/>
        <w:autoSpaceDN w:val="0"/>
        <w:adjustRightInd w:val="0"/>
        <w:spacing w:after="0" w:line="240" w:lineRule="auto"/>
        <w:jc w:val="both"/>
        <w:rPr>
          <w:rFonts w:ascii="Times New Roman" w:hAnsi="Times New Roman" w:cs="Times New Roman"/>
          <w:sz w:val="24"/>
          <w:szCs w:val="24"/>
        </w:rPr>
      </w:pPr>
    </w:p>
    <w:p w:rsidR="00891905" w:rsidRDefault="00891905" w:rsidP="00891905">
      <w:pPr>
        <w:tabs>
          <w:tab w:val="num" w:pos="928"/>
        </w:tabs>
        <w:autoSpaceDE w:val="0"/>
        <w:autoSpaceDN w:val="0"/>
        <w:adjustRightInd w:val="0"/>
        <w:spacing w:after="0" w:line="240" w:lineRule="auto"/>
        <w:jc w:val="both"/>
        <w:rPr>
          <w:rFonts w:ascii="Times New Roman" w:hAnsi="Times New Roman" w:cs="Times New Roman"/>
          <w:sz w:val="24"/>
          <w:szCs w:val="24"/>
        </w:rPr>
      </w:pPr>
    </w:p>
    <w:p w:rsidR="00683175" w:rsidRDefault="00683175" w:rsidP="00683175">
      <w:pPr>
        <w:numPr>
          <w:ilvl w:val="0"/>
          <w:numId w:val="1"/>
        </w:numPr>
        <w:tabs>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Место доставки товара: 628260 ул. Садовая д. 72, ул. Ермака, д.7, г. Югорск, Ханты-Мансийский автономный округ - Югра, Тюменская область.</w:t>
      </w:r>
    </w:p>
    <w:p w:rsidR="00683175" w:rsidRDefault="00683175" w:rsidP="00683175">
      <w:pPr>
        <w:numPr>
          <w:ilvl w:val="0"/>
          <w:numId w:val="1"/>
        </w:numPr>
        <w:tabs>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
    <w:p w:rsidR="00511FAC" w:rsidRDefault="00511FAC" w:rsidP="00511FAC">
      <w:pPr>
        <w:spacing w:after="0"/>
        <w:rPr>
          <w:rFonts w:ascii="Times New Roman" w:hAnsi="Times New Roman" w:cs="Times New Roman"/>
          <w:sz w:val="24"/>
          <w:szCs w:val="24"/>
        </w:rPr>
      </w:pPr>
      <w:r w:rsidRPr="00511FAC">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понедельник, среда, пятница</w:t>
      </w:r>
      <w:r w:rsidR="00456C80">
        <w:rPr>
          <w:rFonts w:ascii="Times New Roman" w:hAnsi="Times New Roman" w:cs="Times New Roman"/>
          <w:sz w:val="24"/>
          <w:szCs w:val="24"/>
        </w:rPr>
        <w:t xml:space="preserve"> с 09.00 до 15.00 </w:t>
      </w:r>
      <w:proofErr w:type="gramStart"/>
      <w:r w:rsidR="00456C80">
        <w:rPr>
          <w:rFonts w:ascii="Times New Roman" w:hAnsi="Times New Roman" w:cs="Times New Roman"/>
          <w:sz w:val="24"/>
          <w:szCs w:val="24"/>
        </w:rPr>
        <w:t>с даты заключения</w:t>
      </w:r>
      <w:proofErr w:type="gramEnd"/>
      <w:r w:rsidR="00456C80">
        <w:rPr>
          <w:rFonts w:ascii="Times New Roman" w:hAnsi="Times New Roman" w:cs="Times New Roman"/>
          <w:sz w:val="24"/>
          <w:szCs w:val="24"/>
        </w:rPr>
        <w:t xml:space="preserve"> договора</w:t>
      </w:r>
      <w:r w:rsidRPr="00511FAC">
        <w:rPr>
          <w:rFonts w:ascii="Times New Roman" w:hAnsi="Times New Roman" w:cs="Times New Roman"/>
          <w:sz w:val="24"/>
          <w:szCs w:val="24"/>
        </w:rPr>
        <w:t xml:space="preserve"> по 30.06.2017 г.</w:t>
      </w:r>
    </w:p>
    <w:p w:rsidR="00683175" w:rsidRPr="00683175" w:rsidRDefault="00683175" w:rsidP="00511FAC">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 адресу: 628260 ул. Ермака, д.7, г. Югорск, Ханты-Мансийский автономный </w:t>
      </w:r>
    </w:p>
    <w:p w:rsidR="00683175" w:rsidRDefault="00511FAC" w:rsidP="0068317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00683175"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00683175" w:rsidRPr="00683175">
        <w:rPr>
          <w:rFonts w:ascii="Times New Roman" w:hAnsi="Times New Roman" w:cs="Times New Roman"/>
          <w:sz w:val="24"/>
          <w:szCs w:val="24"/>
        </w:rPr>
        <w:t>-</w:t>
      </w:r>
      <w:r>
        <w:rPr>
          <w:rFonts w:ascii="Times New Roman" w:hAnsi="Times New Roman" w:cs="Times New Roman"/>
          <w:sz w:val="24"/>
          <w:szCs w:val="24"/>
        </w:rPr>
        <w:t xml:space="preserve"> </w:t>
      </w:r>
      <w:r w:rsidR="00683175" w:rsidRPr="00683175">
        <w:rPr>
          <w:rFonts w:ascii="Times New Roman" w:hAnsi="Times New Roman" w:cs="Times New Roman"/>
          <w:sz w:val="24"/>
          <w:szCs w:val="24"/>
        </w:rPr>
        <w:t xml:space="preserve">Югра, Тюменская область: Поставка товара осуществляется: понедельник, вторник </w:t>
      </w:r>
    </w:p>
    <w:p w:rsidR="00456C80" w:rsidRDefault="00683175" w:rsidP="00683175">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с 08.00 до 15.00</w:t>
      </w:r>
      <w:r>
        <w:rPr>
          <w:rFonts w:ascii="Times New Roman" w:hAnsi="Times New Roman" w:cs="Times New Roman"/>
          <w:sz w:val="24"/>
          <w:szCs w:val="24"/>
        </w:rPr>
        <w:t xml:space="preserve"> </w:t>
      </w:r>
      <w:proofErr w:type="gramStart"/>
      <w:r w:rsidR="00456C80">
        <w:rPr>
          <w:rFonts w:ascii="Times New Roman" w:hAnsi="Times New Roman" w:cs="Times New Roman"/>
          <w:sz w:val="24"/>
          <w:szCs w:val="24"/>
        </w:rPr>
        <w:t>с даты заключения</w:t>
      </w:r>
      <w:proofErr w:type="gramEnd"/>
      <w:r w:rsidR="00456C80">
        <w:rPr>
          <w:rFonts w:ascii="Times New Roman" w:hAnsi="Times New Roman" w:cs="Times New Roman"/>
          <w:sz w:val="24"/>
          <w:szCs w:val="24"/>
        </w:rPr>
        <w:t xml:space="preserve"> договора</w:t>
      </w:r>
      <w:r w:rsidR="00456C80" w:rsidRPr="00511FAC">
        <w:rPr>
          <w:rFonts w:ascii="Times New Roman" w:hAnsi="Times New Roman" w:cs="Times New Roman"/>
          <w:sz w:val="24"/>
          <w:szCs w:val="24"/>
        </w:rPr>
        <w:t xml:space="preserve"> по 30.06.2017 г.</w:t>
      </w:r>
    </w:p>
    <w:p w:rsidR="00683175" w:rsidRDefault="00683175" w:rsidP="0068317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9. Источник финансирования: </w:t>
      </w:r>
    </w:p>
    <w:p w:rsidR="00683175" w:rsidRDefault="00683175" w:rsidP="00683175">
      <w:pPr>
        <w:pStyle w:val="a6"/>
        <w:autoSpaceDE w:val="0"/>
        <w:autoSpaceDN w:val="0"/>
        <w:adjustRightInd w:val="0"/>
        <w:ind w:left="0"/>
        <w:jc w:val="both"/>
      </w:pPr>
      <w:r>
        <w:t>Продукты питания для детей дошкольного возраста - за счет средств от приносящей доход деятельности на 2017 год.</w:t>
      </w:r>
    </w:p>
    <w:p w:rsidR="00683175" w:rsidRDefault="00683175" w:rsidP="00683175">
      <w:pPr>
        <w:pStyle w:val="a6"/>
        <w:autoSpaceDE w:val="0"/>
        <w:autoSpaceDN w:val="0"/>
        <w:adjustRightInd w:val="0"/>
        <w:ind w:left="0"/>
        <w:jc w:val="both"/>
      </w:pPr>
      <w:r>
        <w:t>Продукты питания для детей школьного возраста – за счет бюджета г. Югорска на 2017г.</w:t>
      </w:r>
    </w:p>
    <w:p w:rsidR="00683175" w:rsidRDefault="00683175" w:rsidP="00683175">
      <w:pPr>
        <w:pStyle w:val="a6"/>
        <w:widowControl w:val="0"/>
        <w:numPr>
          <w:ilvl w:val="0"/>
          <w:numId w:val="2"/>
        </w:numPr>
        <w:tabs>
          <w:tab w:val="left" w:pos="567"/>
        </w:tabs>
        <w:autoSpaceDE w:val="0"/>
        <w:autoSpaceDN w:val="0"/>
        <w:adjustRightInd w:val="0"/>
        <w:ind w:left="0" w:firstLine="0"/>
        <w:jc w:val="both"/>
      </w:pPr>
      <w:r>
        <w:t xml:space="preserve"> Оплата по Договору производится в следующем порядке:</w:t>
      </w:r>
    </w:p>
    <w:p w:rsidR="00683175" w:rsidRDefault="00683175" w:rsidP="0068317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Pr>
          <w:rFonts w:ascii="Times New Roman" w:hAnsi="Times New Roman" w:cs="Times New Roman"/>
          <w:sz w:val="24"/>
          <w:szCs w:val="24"/>
        </w:rPr>
        <w:t>накладной</w:t>
      </w:r>
      <w:proofErr w:type="gramEnd"/>
      <w:r>
        <w:rPr>
          <w:rFonts w:ascii="Times New Roman" w:hAnsi="Times New Roman" w:cs="Times New Roman"/>
          <w:sz w:val="24"/>
          <w:szCs w:val="24"/>
        </w:rPr>
        <w:t xml:space="preserve">  на основании представленного Поставщиком счета-фактуры.</w:t>
      </w:r>
    </w:p>
    <w:p w:rsidR="00683175" w:rsidRDefault="00683175" w:rsidP="0068317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Требования к участникам закупки:</w:t>
      </w:r>
    </w:p>
    <w:p w:rsidR="00683175" w:rsidRDefault="00683175" w:rsidP="00683175">
      <w:pPr>
        <w:tabs>
          <w:tab w:val="num" w:pos="567"/>
        </w:tabs>
        <w:suppressAutoHyphens/>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83175" w:rsidRDefault="00683175" w:rsidP="00683175">
      <w:pPr>
        <w:tabs>
          <w:tab w:val="num"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683175" w:rsidRDefault="00683175" w:rsidP="00683175">
      <w:pPr>
        <w:tabs>
          <w:tab w:val="num"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83175" w:rsidRDefault="00683175" w:rsidP="00683175">
      <w:pPr>
        <w:tabs>
          <w:tab w:val="num" w:pos="567"/>
        </w:tabs>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cs="Times New Roman"/>
          <w:sz w:val="24"/>
          <w:szCs w:val="24"/>
        </w:rPr>
        <w:t xml:space="preserve"> обязанности </w:t>
      </w:r>
      <w:proofErr w:type="gramStart"/>
      <w:r>
        <w:rPr>
          <w:rFonts w:ascii="Times New Roman" w:eastAsia="Times New Roman" w:hAnsi="Times New Roman" w:cs="Times New Roman"/>
          <w:sz w:val="24"/>
          <w:szCs w:val="24"/>
        </w:rPr>
        <w:t>заявителя</w:t>
      </w:r>
      <w:proofErr w:type="gramEnd"/>
      <w:r>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83175" w:rsidRDefault="00683175" w:rsidP="00683175">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83175" w:rsidRDefault="00683175" w:rsidP="00683175">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83175" w:rsidRDefault="00683175" w:rsidP="00683175">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683175" w:rsidRDefault="00683175" w:rsidP="00683175">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участник закупки не является офшорной компанией</w:t>
      </w:r>
    </w:p>
    <w:p w:rsidR="00683175" w:rsidRDefault="00683175" w:rsidP="00683175">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83175" w:rsidRDefault="00683175" w:rsidP="00683175">
      <w:pPr>
        <w:autoSpaceDE w:val="0"/>
        <w:autoSpaceDN w:val="0"/>
        <w:adjustRightInd w:val="0"/>
        <w:ind w:firstLine="28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eastAsia="Times New Roman" w:hAnsi="Times New Roman" w:cs="Times New Roman"/>
          <w:bCs/>
          <w:sz w:val="24"/>
          <w:szCs w:val="24"/>
        </w:rPr>
        <w:t>закупки – юридическом лице</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в том числе</w:t>
      </w:r>
      <w:r>
        <w:rPr>
          <w:rFonts w:ascii="Times New Roman" w:eastAsia="Times New Roman" w:hAnsi="Times New Roman" w:cs="Times New Roman"/>
          <w:sz w:val="24"/>
          <w:szCs w:val="24"/>
        </w:rPr>
        <w:t xml:space="preserve"> сведений об учредителях, </w:t>
      </w:r>
      <w:r>
        <w:rPr>
          <w:rFonts w:ascii="Times New Roman" w:eastAsia="Times New Roman" w:hAnsi="Times New Roman" w:cs="Times New Roman"/>
          <w:bCs/>
          <w:sz w:val="24"/>
          <w:szCs w:val="24"/>
        </w:rPr>
        <w:t>о</w:t>
      </w:r>
      <w:r>
        <w:rPr>
          <w:rFonts w:ascii="Times New Roman" w:eastAsia="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eastAsia="Times New Roman" w:hAnsi="Times New Roman" w:cs="Times New Roman"/>
          <w:bCs/>
          <w:sz w:val="24"/>
          <w:szCs w:val="24"/>
        </w:rPr>
        <w:t>закупки – для юридического лица</w:t>
      </w:r>
    </w:p>
    <w:p w:rsidR="00683175" w:rsidRDefault="00683175" w:rsidP="00683175">
      <w:pPr>
        <w:pStyle w:val="a6"/>
        <w:numPr>
          <w:ilvl w:val="0"/>
          <w:numId w:val="3"/>
        </w:numPr>
        <w:suppressAutoHyphens/>
        <w:autoSpaceDE w:val="0"/>
        <w:autoSpaceDN w:val="0"/>
        <w:adjustRightInd w:val="0"/>
        <w:ind w:left="0" w:firstLine="284"/>
        <w:jc w:val="both"/>
      </w:pPr>
      <w: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eastAsia="Times New Roman" w:hAnsi="Times New Roman" w:cs="Times New Roman"/>
          <w:sz w:val="24"/>
          <w:szCs w:val="24"/>
        </w:rPr>
        <w:noBreakHyphen/>
        <w:t xml:space="preserve"> www.zakupki.gov.ru.</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w:t>
      </w:r>
      <w:r w:rsidR="00456C80">
        <w:rPr>
          <w:rFonts w:ascii="Times New Roman" w:eastAsia="Times New Roman" w:hAnsi="Times New Roman" w:cs="Times New Roman"/>
          <w:sz w:val="24"/>
          <w:szCs w:val="24"/>
        </w:rPr>
        <w:t xml:space="preserve">в 00 минут </w:t>
      </w:r>
      <w:r w:rsidR="00C52F87">
        <w:t>«13 »  января 2017 года</w:t>
      </w:r>
      <w:r>
        <w:rPr>
          <w:rFonts w:ascii="Times New Roman" w:eastAsia="Times New Roman" w:hAnsi="Times New Roman" w:cs="Times New Roman"/>
          <w:sz w:val="24"/>
          <w:szCs w:val="24"/>
        </w:rPr>
        <w:t>.</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окончания срока рассмотрения заявок на участие в аукционе в электронной </w:t>
      </w:r>
      <w:r w:rsidR="00456C80">
        <w:rPr>
          <w:rFonts w:ascii="Times New Roman" w:eastAsia="Times New Roman" w:hAnsi="Times New Roman" w:cs="Times New Roman"/>
          <w:sz w:val="24"/>
          <w:szCs w:val="24"/>
        </w:rPr>
        <w:t xml:space="preserve">форме: </w:t>
      </w:r>
      <w:r w:rsidR="00C52F87">
        <w:t>«1</w:t>
      </w:r>
      <w:r w:rsidR="00C52F87">
        <w:t>7</w:t>
      </w:r>
      <w:r w:rsidR="00C52F87">
        <w:t xml:space="preserve"> »  января 2017 года</w:t>
      </w:r>
      <w:r>
        <w:rPr>
          <w:rFonts w:ascii="Times New Roman" w:eastAsia="Times New Roman" w:hAnsi="Times New Roman" w:cs="Times New Roman"/>
          <w:sz w:val="24"/>
          <w:szCs w:val="24"/>
        </w:rPr>
        <w:t>.</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 аукциона в электронной фор</w:t>
      </w:r>
      <w:r w:rsidR="00456C80">
        <w:rPr>
          <w:rFonts w:ascii="Times New Roman" w:eastAsia="Times New Roman" w:hAnsi="Times New Roman" w:cs="Times New Roman"/>
          <w:sz w:val="24"/>
          <w:szCs w:val="24"/>
        </w:rPr>
        <w:t xml:space="preserve">ме: </w:t>
      </w:r>
      <w:r w:rsidR="00C52F87">
        <w:t>«</w:t>
      </w:r>
      <w:r w:rsidR="00C52F87">
        <w:t>20</w:t>
      </w:r>
      <w:r w:rsidR="00C52F87">
        <w:t xml:space="preserve"> »  января 2017 года</w:t>
      </w:r>
      <w:r>
        <w:rPr>
          <w:rFonts w:ascii="Times New Roman" w:eastAsia="Times New Roman" w:hAnsi="Times New Roman" w:cs="Times New Roman"/>
          <w:sz w:val="24"/>
          <w:szCs w:val="24"/>
        </w:rPr>
        <w:t>.</w:t>
      </w:r>
    </w:p>
    <w:p w:rsidR="00683175" w:rsidRDefault="00683175" w:rsidP="00683175">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i/>
          <w:sz w:val="24"/>
          <w:szCs w:val="24"/>
        </w:rPr>
        <w:t>предоставляются</w:t>
      </w:r>
      <w:r>
        <w:rPr>
          <w:rFonts w:ascii="Times New Roman" w:hAnsi="Times New Roman" w:cs="Times New Roman"/>
          <w:b/>
          <w:sz w:val="24"/>
          <w:szCs w:val="24"/>
        </w:rPr>
        <w:t>.</w:t>
      </w:r>
    </w:p>
    <w:p w:rsidR="00683175" w:rsidRDefault="00683175" w:rsidP="00683175">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683175" w:rsidRDefault="00683175" w:rsidP="00683175">
      <w:pPr>
        <w:widowControl w:val="0"/>
        <w:numPr>
          <w:ilvl w:val="0"/>
          <w:numId w:val="3"/>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Pr>
          <w:rFonts w:ascii="Times New Roman" w:eastAsia="Times New Roman" w:hAnsi="Times New Roman" w:cs="Times New Roman"/>
          <w:b/>
          <w:sz w:val="24"/>
          <w:szCs w:val="24"/>
        </w:rPr>
        <w:t>8 129</w:t>
      </w:r>
      <w:r w:rsidRPr="00683175">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(восемь тысяч сто двадцать девять) рублей 10 копеек</w:t>
      </w:r>
      <w:r>
        <w:rPr>
          <w:rFonts w:ascii="Times New Roman" w:eastAsia="Times New Roman" w:hAnsi="Times New Roman" w:cs="Times New Roman"/>
          <w:sz w:val="24"/>
          <w:szCs w:val="24"/>
        </w:rPr>
        <w:t xml:space="preserve">. </w:t>
      </w:r>
    </w:p>
    <w:p w:rsidR="00683175" w:rsidRDefault="00683175" w:rsidP="00683175">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внесенные в качестве обеспечени</w:t>
      </w:r>
      <w:bookmarkStart w:id="0" w:name="_GoBack"/>
      <w:bookmarkEnd w:id="0"/>
      <w:r>
        <w:rPr>
          <w:rFonts w:ascii="Times New Roman" w:eastAsia="Times New Roman" w:hAnsi="Times New Roman" w:cs="Times New Roman"/>
          <w:sz w:val="24"/>
          <w:szCs w:val="24"/>
        </w:rPr>
        <w:t>я заявок, перечисляются на счет оператора электронной площадки в банке.</w:t>
      </w:r>
    </w:p>
    <w:p w:rsidR="00683175" w:rsidRDefault="00683175" w:rsidP="0068317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83175" w:rsidRDefault="00683175" w:rsidP="00683175">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83175" w:rsidRDefault="00683175" w:rsidP="00683175">
      <w:pPr>
        <w:pStyle w:val="3"/>
        <w:keepNext w:val="0"/>
        <w:tabs>
          <w:tab w:val="left" w:pos="426"/>
          <w:tab w:val="left" w:pos="708"/>
        </w:tabs>
        <w:spacing w:before="0" w:after="0"/>
        <w:ind w:firstLine="284"/>
        <w:jc w:val="both"/>
        <w:rPr>
          <w:rFonts w:ascii="Times New Roman" w:hAnsi="Times New Roman"/>
          <w:sz w:val="24"/>
          <w:szCs w:val="24"/>
        </w:rPr>
      </w:pPr>
      <w:r>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Pr>
          <w:rFonts w:ascii="Times New Roman" w:hAnsi="Times New Roman"/>
          <w:sz w:val="24"/>
          <w:szCs w:val="24"/>
        </w:rPr>
        <w:t>40 645</w:t>
      </w:r>
      <w:r w:rsidRPr="00683175">
        <w:rPr>
          <w:rFonts w:ascii="Times New Roman" w:hAnsi="Times New Roman"/>
          <w:sz w:val="24"/>
          <w:szCs w:val="24"/>
        </w:rPr>
        <w:t xml:space="preserve"> </w:t>
      </w:r>
      <w:r>
        <w:rPr>
          <w:rFonts w:ascii="Times New Roman" w:hAnsi="Times New Roman"/>
          <w:sz w:val="24"/>
          <w:szCs w:val="24"/>
        </w:rPr>
        <w:t>(сорок тысяч шестьсот сорок пять) рублей 50 копеек.</w:t>
      </w:r>
    </w:p>
    <w:p w:rsidR="00683175" w:rsidRDefault="00683175" w:rsidP="00683175">
      <w:pPr>
        <w:pStyle w:val="3"/>
        <w:keepNext w:val="0"/>
        <w:tabs>
          <w:tab w:val="left" w:pos="426"/>
          <w:tab w:val="left" w:pos="708"/>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83175" w:rsidRDefault="00683175" w:rsidP="00683175">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683175" w:rsidRDefault="00683175" w:rsidP="00683175">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В случае</w:t>
      </w:r>
      <w:r>
        <w:rPr>
          <w:rFonts w:ascii="Times New Roman" w:eastAsia="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lastRenderedPageBreak/>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Банковская гарантия должна быть безотзывной;</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2.  Банковская гарантия должна содержать: </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b w:val="0"/>
          <w:bCs w:val="0"/>
          <w:sz w:val="24"/>
          <w:szCs w:val="24"/>
        </w:rPr>
        <w:t>ств пр</w:t>
      </w:r>
      <w:proofErr w:type="gramEnd"/>
      <w:r>
        <w:rPr>
          <w:rFonts w:ascii="Times New Roman" w:hAnsi="Times New Roman"/>
          <w:b w:val="0"/>
          <w:bCs w:val="0"/>
          <w:sz w:val="24"/>
          <w:szCs w:val="24"/>
        </w:rPr>
        <w:t>инципалом в соответствии со статьей 96 Закона о контрактной системе;</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83175" w:rsidRDefault="00683175" w:rsidP="00683175">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83175" w:rsidRDefault="00683175" w:rsidP="00683175">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83175" w:rsidRDefault="00683175" w:rsidP="00683175">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683175" w:rsidRDefault="00683175" w:rsidP="00683175">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83175" w:rsidRDefault="00683175" w:rsidP="00683175">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83175" w:rsidRDefault="00683175" w:rsidP="00683175">
      <w:pPr>
        <w:pStyle w:val="3"/>
        <w:keepNext w:val="0"/>
        <w:spacing w:before="0" w:after="0"/>
        <w:ind w:firstLine="426"/>
        <w:jc w:val="both"/>
        <w:rPr>
          <w:rFonts w:ascii="Times New Roman" w:hAnsi="Times New Roman"/>
          <w:b w:val="0"/>
          <w:bCs w:val="0"/>
          <w:sz w:val="24"/>
          <w:szCs w:val="24"/>
        </w:rPr>
      </w:pPr>
      <w:r>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683175" w:rsidRDefault="00683175" w:rsidP="00683175">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683175" w:rsidRDefault="00683175" w:rsidP="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683175" w:rsidRDefault="00683175" w:rsidP="00683175">
      <w:pPr>
        <w:pStyle w:val="a5"/>
        <w:ind w:left="927"/>
        <w:rPr>
          <w:rFonts w:ascii="Times New Roman" w:hAnsi="Times New Roman" w:cs="Times New Roman"/>
          <w:sz w:val="24"/>
          <w:szCs w:val="24"/>
        </w:rPr>
      </w:pPr>
      <w:r>
        <w:rPr>
          <w:rFonts w:ascii="Times New Roman" w:hAnsi="Times New Roman" w:cs="Times New Roman"/>
          <w:sz w:val="24"/>
          <w:szCs w:val="24"/>
        </w:rPr>
        <w:t>ИНН, КПП: 8622009268, 862201001</w:t>
      </w:r>
    </w:p>
    <w:p w:rsidR="00683175" w:rsidRDefault="00683175" w:rsidP="00683175">
      <w:pPr>
        <w:pStyle w:val="a5"/>
        <w:ind w:left="927"/>
        <w:rPr>
          <w:rFonts w:ascii="Times New Roman" w:hAnsi="Times New Roman" w:cs="Times New Roman"/>
          <w:sz w:val="24"/>
          <w:szCs w:val="24"/>
        </w:rPr>
      </w:pPr>
      <w:r>
        <w:rPr>
          <w:rFonts w:ascii="Times New Roman" w:hAnsi="Times New Roman" w:cs="Times New Roman"/>
          <w:sz w:val="24"/>
          <w:szCs w:val="24"/>
        </w:rPr>
        <w:t>Банк: Ф-л Западно-Сибирский ПАО Банка «ФК Открытие» г. Ханты-Мансийск</w:t>
      </w:r>
    </w:p>
    <w:p w:rsidR="00683175" w:rsidRDefault="00683175" w:rsidP="00683175">
      <w:pPr>
        <w:pStyle w:val="a5"/>
        <w:ind w:left="92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40701810800063000007</w:t>
      </w:r>
    </w:p>
    <w:p w:rsidR="00683175" w:rsidRDefault="00683175" w:rsidP="00683175">
      <w:pPr>
        <w:pStyle w:val="a5"/>
        <w:ind w:left="927"/>
        <w:rPr>
          <w:rFonts w:ascii="Times New Roman" w:hAnsi="Times New Roman" w:cs="Times New Roman"/>
          <w:sz w:val="24"/>
          <w:szCs w:val="24"/>
        </w:rPr>
      </w:pPr>
      <w:r>
        <w:rPr>
          <w:rFonts w:ascii="Times New Roman" w:hAnsi="Times New Roman" w:cs="Times New Roman"/>
          <w:sz w:val="24"/>
          <w:szCs w:val="24"/>
        </w:rPr>
        <w:t>к/с:  30101810465777100812</w:t>
      </w:r>
    </w:p>
    <w:p w:rsidR="00683175" w:rsidRDefault="00683175" w:rsidP="00683175">
      <w:pPr>
        <w:pStyle w:val="a5"/>
        <w:ind w:left="927"/>
        <w:rPr>
          <w:rFonts w:ascii="Times New Roman" w:hAnsi="Times New Roman" w:cs="Times New Roman"/>
          <w:sz w:val="24"/>
          <w:szCs w:val="24"/>
        </w:rPr>
      </w:pPr>
      <w:r>
        <w:rPr>
          <w:rFonts w:ascii="Times New Roman" w:hAnsi="Times New Roman" w:cs="Times New Roman"/>
          <w:sz w:val="24"/>
          <w:szCs w:val="24"/>
        </w:rPr>
        <w:t>БИК:  047162812</w:t>
      </w:r>
    </w:p>
    <w:p w:rsidR="00683175" w:rsidRDefault="00683175" w:rsidP="00683175">
      <w:pPr>
        <w:pStyle w:val="a5"/>
        <w:ind w:left="927"/>
        <w:rPr>
          <w:rFonts w:ascii="Times New Roman" w:hAnsi="Times New Roman" w:cs="Times New Roman"/>
          <w:sz w:val="24"/>
          <w:szCs w:val="24"/>
        </w:rPr>
      </w:pPr>
      <w:proofErr w:type="spellStart"/>
      <w:r>
        <w:rPr>
          <w:rFonts w:ascii="Times New Roman" w:hAnsi="Times New Roman" w:cs="Times New Roman"/>
          <w:sz w:val="24"/>
          <w:szCs w:val="24"/>
        </w:rPr>
        <w:t>Л.сч</w:t>
      </w:r>
      <w:proofErr w:type="spellEnd"/>
      <w:r>
        <w:rPr>
          <w:rFonts w:ascii="Times New Roman" w:hAnsi="Times New Roman" w:cs="Times New Roman"/>
          <w:sz w:val="24"/>
          <w:szCs w:val="24"/>
        </w:rPr>
        <w:t>. 300.14.106.0</w:t>
      </w:r>
    </w:p>
    <w:p w:rsidR="00683175" w:rsidRDefault="00683175" w:rsidP="00683175">
      <w:pPr>
        <w:pStyle w:val="a5"/>
        <w:ind w:left="927"/>
        <w:rPr>
          <w:rFonts w:ascii="Times New Roman" w:hAnsi="Times New Roman" w:cs="Times New Roman"/>
          <w:sz w:val="24"/>
          <w:szCs w:val="24"/>
        </w:rPr>
      </w:pPr>
      <w:r>
        <w:rPr>
          <w:rFonts w:ascii="Times New Roman" w:hAnsi="Times New Roman" w:cs="Times New Roman"/>
          <w:sz w:val="24"/>
          <w:szCs w:val="24"/>
        </w:rPr>
        <w:t xml:space="preserve">Получатель: </w:t>
      </w:r>
      <w:proofErr w:type="spellStart"/>
      <w:r>
        <w:rPr>
          <w:rFonts w:ascii="Times New Roman" w:hAnsi="Times New Roman" w:cs="Times New Roman"/>
          <w:sz w:val="24"/>
          <w:szCs w:val="24"/>
        </w:rPr>
        <w:t>Депфин</w:t>
      </w:r>
      <w:proofErr w:type="spellEnd"/>
      <w:r>
        <w:rPr>
          <w:rFonts w:ascii="Times New Roman" w:hAnsi="Times New Roman" w:cs="Times New Roman"/>
          <w:sz w:val="24"/>
          <w:szCs w:val="24"/>
        </w:rPr>
        <w:t xml:space="preserve"> Югорска (МБОУ «Средняя общеобразовательная школа № 6» л/с 300.14.106.0)</w:t>
      </w:r>
    </w:p>
    <w:p w:rsidR="00683175" w:rsidRDefault="00683175" w:rsidP="00683175">
      <w:pPr>
        <w:pStyle w:val="4"/>
        <w:keepNext w:val="0"/>
        <w:numPr>
          <w:ilvl w:val="0"/>
          <w:numId w:val="4"/>
        </w:numPr>
        <w:spacing w:before="0" w:after="0"/>
        <w:ind w:left="0" w:firstLine="567"/>
        <w:jc w:val="both"/>
        <w:rPr>
          <w:b w:val="0"/>
          <w:sz w:val="24"/>
          <w:szCs w:val="24"/>
        </w:rPr>
      </w:pPr>
      <w:r>
        <w:rPr>
          <w:b w:val="0"/>
          <w:sz w:val="24"/>
          <w:szCs w:val="24"/>
        </w:rPr>
        <w:t>Назначение платежа:</w:t>
      </w:r>
      <w:r>
        <w:rPr>
          <w:b w:val="0"/>
          <w:color w:val="000099"/>
          <w:sz w:val="24"/>
          <w:szCs w:val="24"/>
        </w:rPr>
        <w:t xml:space="preserve"> «</w:t>
      </w:r>
      <w:r>
        <w:rPr>
          <w:b w:val="0"/>
          <w:sz w:val="24"/>
          <w:szCs w:val="24"/>
        </w:rPr>
        <w:t>Обеспечение исполнения договора по аукциону в электронной форме № _______ на поставку продуктов питания».</w:t>
      </w:r>
    </w:p>
    <w:p w:rsidR="00683175" w:rsidRDefault="00683175" w:rsidP="00683175">
      <w:pPr>
        <w:pStyle w:val="4"/>
        <w:keepNext w:val="0"/>
        <w:numPr>
          <w:ilvl w:val="0"/>
          <w:numId w:val="4"/>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83175" w:rsidRDefault="00683175" w:rsidP="00683175">
      <w:pPr>
        <w:pStyle w:val="4"/>
        <w:keepNext w:val="0"/>
        <w:numPr>
          <w:ilvl w:val="0"/>
          <w:numId w:val="4"/>
        </w:numPr>
        <w:spacing w:before="0" w:after="0"/>
        <w:ind w:left="0" w:firstLine="567"/>
        <w:jc w:val="both"/>
        <w:rPr>
          <w:b w:val="0"/>
          <w:sz w:val="24"/>
          <w:szCs w:val="24"/>
        </w:rPr>
      </w:pPr>
      <w:r>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итается непредставленным;</w:t>
      </w:r>
    </w:p>
    <w:p w:rsidR="00683175" w:rsidRDefault="00683175" w:rsidP="00683175">
      <w:pPr>
        <w:pStyle w:val="4"/>
        <w:keepNext w:val="0"/>
        <w:spacing w:before="0" w:after="0"/>
        <w:ind w:firstLine="567"/>
        <w:jc w:val="both"/>
        <w:rPr>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83175" w:rsidRDefault="00683175" w:rsidP="00683175">
      <w:pPr>
        <w:pStyle w:val="4"/>
        <w:keepNext w:val="0"/>
        <w:spacing w:before="0" w:after="0"/>
        <w:ind w:firstLine="567"/>
        <w:jc w:val="both"/>
        <w:rPr>
          <w:b w:val="0"/>
          <w:sz w:val="24"/>
          <w:szCs w:val="24"/>
        </w:rPr>
      </w:pPr>
      <w:r>
        <w:rPr>
          <w:b w:val="0"/>
          <w:sz w:val="24"/>
          <w:szCs w:val="24"/>
        </w:rPr>
        <w:t xml:space="preserve">25. </w:t>
      </w:r>
      <w:proofErr w:type="gramStart"/>
      <w:r>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683175" w:rsidRDefault="00683175" w:rsidP="00683175">
      <w:pPr>
        <w:autoSpaceDE w:val="0"/>
        <w:autoSpaceDN w:val="0"/>
        <w:adjustRightInd w:v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eastAsia="Times New Roman" w:hAnsi="Times New Roman" w:cs="Times New Roman"/>
          <w:sz w:val="24"/>
          <w:szCs w:val="24"/>
        </w:rPr>
        <w:t xml:space="preserve"> Не установлено;</w:t>
      </w:r>
    </w:p>
    <w:p w:rsidR="00683175" w:rsidRDefault="00683175" w:rsidP="0068317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83175" w:rsidRDefault="00683175" w:rsidP="00683175">
      <w:pPr>
        <w:autoSpaceDE w:val="0"/>
        <w:autoSpaceDN w:val="0"/>
        <w:adjustRightInd w:val="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83175" w:rsidRDefault="00683175" w:rsidP="00683175">
      <w:pPr>
        <w:autoSpaceDE w:val="0"/>
        <w:autoSpaceDN w:val="0"/>
        <w:adjustRightInd w:val="0"/>
        <w:jc w:val="both"/>
        <w:rPr>
          <w:rFonts w:ascii="Times New Roman" w:eastAsia="Times New Roman" w:hAnsi="Times New Roman" w:cs="Times New Roman"/>
          <w:b/>
          <w:sz w:val="24"/>
          <w:szCs w:val="24"/>
        </w:rPr>
      </w:pPr>
      <w:r>
        <w:rPr>
          <w:rFonts w:ascii="Times New Roman" w:eastAsia="Calibri" w:hAnsi="Times New Roman" w:cs="Times New Roman"/>
          <w:sz w:val="24"/>
          <w:szCs w:val="24"/>
          <w:lang w:eastAsia="en-US"/>
        </w:rPr>
        <w:t xml:space="preserve">-  В соответствии с </w:t>
      </w:r>
      <w:r>
        <w:rPr>
          <w:rFonts w:ascii="Times New Roman" w:eastAsia="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683175">
        <w:rPr>
          <w:rFonts w:ascii="Times New Roman" w:eastAsia="Times New Roman" w:hAnsi="Times New Roman" w:cs="Times New Roman"/>
          <w:b/>
          <w:sz w:val="24"/>
          <w:szCs w:val="24"/>
        </w:rPr>
        <w:t>Установлено;</w:t>
      </w:r>
    </w:p>
    <w:p w:rsidR="00683175" w:rsidRDefault="00683175" w:rsidP="0068317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83175" w:rsidRDefault="00683175" w:rsidP="0068317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83175" w:rsidRDefault="00683175" w:rsidP="00683175">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83175" w:rsidRPr="00683175" w:rsidRDefault="00683175" w:rsidP="00683175">
      <w:pPr>
        <w:autoSpaceDE w:val="0"/>
        <w:autoSpaceDN w:val="0"/>
        <w:adjustRightInd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83175">
        <w:rPr>
          <w:rFonts w:ascii="Times New Roman" w:eastAsia="Times New Roman" w:hAnsi="Times New Roman" w:cs="Times New Roman"/>
          <w:b/>
          <w:sz w:val="24"/>
          <w:szCs w:val="24"/>
        </w:rPr>
        <w:t>Установлено.</w:t>
      </w:r>
    </w:p>
    <w:p w:rsidR="00683175" w:rsidRDefault="00683175" w:rsidP="00683175">
      <w:pPr>
        <w:pStyle w:val="1"/>
        <w:spacing w:before="0"/>
        <w:jc w:val="both"/>
        <w:rPr>
          <w:rFonts w:ascii="Times New Roman" w:hAnsi="Times New Roman"/>
          <w:b w:val="0"/>
          <w:color w:val="auto"/>
          <w:sz w:val="24"/>
          <w:szCs w:val="24"/>
        </w:rPr>
      </w:pPr>
      <w:r>
        <w:rPr>
          <w:rFonts w:ascii="Times New Roman" w:hAnsi="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83175" w:rsidRDefault="00683175" w:rsidP="00683175">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683175" w:rsidTr="00683175">
        <w:tc>
          <w:tcPr>
            <w:tcW w:w="4219" w:type="dxa"/>
            <w:vAlign w:val="bottom"/>
            <w:hideMark/>
          </w:tcPr>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gridSpan w:val="2"/>
            <w:hideMark/>
          </w:tcPr>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Е.Б.Комисаренко</w:t>
            </w:r>
          </w:p>
        </w:tc>
      </w:tr>
      <w:tr w:rsidR="00683175" w:rsidTr="00683175">
        <w:tc>
          <w:tcPr>
            <w:tcW w:w="4219" w:type="dxa"/>
            <w:vAlign w:val="bottom"/>
          </w:tcPr>
          <w:p w:rsidR="00683175" w:rsidRDefault="00683175">
            <w:pPr>
              <w:ind w:firstLine="567"/>
              <w:rPr>
                <w:rFonts w:ascii="Times New Roman" w:eastAsia="Times New Roman" w:hAnsi="Times New Roman" w:cs="Times New Roman"/>
                <w:sz w:val="24"/>
                <w:szCs w:val="24"/>
              </w:rPr>
            </w:pPr>
          </w:p>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tc>
        <w:tc>
          <w:tcPr>
            <w:tcW w:w="3826" w:type="dxa"/>
          </w:tcPr>
          <w:p w:rsidR="00683175" w:rsidRDefault="00683175">
            <w:pPr>
              <w:rPr>
                <w:rFonts w:ascii="Times New Roman" w:eastAsia="Times New Roman" w:hAnsi="Times New Roman" w:cs="Times New Roman"/>
                <w:sz w:val="24"/>
                <w:szCs w:val="24"/>
              </w:rPr>
            </w:pPr>
          </w:p>
        </w:tc>
        <w:tc>
          <w:tcPr>
            <w:tcW w:w="1986" w:type="dxa"/>
            <w:vAlign w:val="bottom"/>
          </w:tcPr>
          <w:p w:rsidR="00683175" w:rsidRDefault="00683175">
            <w:pPr>
              <w:rPr>
                <w:rFonts w:ascii="Times New Roman" w:eastAsia="Times New Roman" w:hAnsi="Times New Roman" w:cs="Times New Roman"/>
                <w:sz w:val="24"/>
                <w:szCs w:val="24"/>
              </w:rPr>
            </w:pPr>
          </w:p>
        </w:tc>
      </w:tr>
      <w:tr w:rsidR="00683175" w:rsidTr="00683175">
        <w:tc>
          <w:tcPr>
            <w:tcW w:w="4219" w:type="dxa"/>
            <w:vAlign w:val="bottom"/>
            <w:hideMark/>
          </w:tcPr>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начальника управления</w:t>
            </w:r>
          </w:p>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экономической политики</w:t>
            </w:r>
          </w:p>
        </w:tc>
        <w:tc>
          <w:tcPr>
            <w:tcW w:w="3826" w:type="dxa"/>
          </w:tcPr>
          <w:p w:rsidR="00683175" w:rsidRDefault="00683175">
            <w:pPr>
              <w:rPr>
                <w:rFonts w:ascii="Times New Roman" w:eastAsia="Times New Roman" w:hAnsi="Times New Roman" w:cs="Times New Roman"/>
                <w:sz w:val="24"/>
                <w:szCs w:val="24"/>
              </w:rPr>
            </w:pPr>
          </w:p>
        </w:tc>
        <w:tc>
          <w:tcPr>
            <w:tcW w:w="1986" w:type="dxa"/>
            <w:vAlign w:val="bottom"/>
            <w:hideMark/>
          </w:tcPr>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Ж.В. Резинкина</w:t>
            </w:r>
          </w:p>
        </w:tc>
      </w:tr>
      <w:tr w:rsidR="00683175" w:rsidTr="00683175">
        <w:tc>
          <w:tcPr>
            <w:tcW w:w="4219" w:type="dxa"/>
            <w:vAlign w:val="bottom"/>
          </w:tcPr>
          <w:p w:rsidR="00683175" w:rsidRDefault="00683175">
            <w:pPr>
              <w:rPr>
                <w:rFonts w:ascii="Times New Roman" w:eastAsia="Times New Roman" w:hAnsi="Times New Roman" w:cs="Times New Roman"/>
                <w:sz w:val="24"/>
                <w:szCs w:val="24"/>
              </w:rPr>
            </w:pPr>
          </w:p>
        </w:tc>
        <w:tc>
          <w:tcPr>
            <w:tcW w:w="3826" w:type="dxa"/>
          </w:tcPr>
          <w:p w:rsidR="00683175" w:rsidRDefault="00683175">
            <w:pPr>
              <w:rPr>
                <w:rFonts w:ascii="Times New Roman" w:eastAsia="Times New Roman" w:hAnsi="Times New Roman" w:cs="Times New Roman"/>
                <w:sz w:val="24"/>
                <w:szCs w:val="24"/>
              </w:rPr>
            </w:pPr>
          </w:p>
        </w:tc>
        <w:tc>
          <w:tcPr>
            <w:tcW w:w="1986" w:type="dxa"/>
            <w:vAlign w:val="bottom"/>
          </w:tcPr>
          <w:p w:rsidR="00683175" w:rsidRDefault="00683175">
            <w:pPr>
              <w:rPr>
                <w:rFonts w:ascii="Times New Roman" w:eastAsia="Times New Roman" w:hAnsi="Times New Roman" w:cs="Times New Roman"/>
                <w:sz w:val="24"/>
                <w:szCs w:val="24"/>
              </w:rPr>
            </w:pPr>
          </w:p>
        </w:tc>
      </w:tr>
      <w:tr w:rsidR="00683175" w:rsidTr="00683175">
        <w:tc>
          <w:tcPr>
            <w:tcW w:w="4219" w:type="dxa"/>
            <w:vAlign w:val="bottom"/>
            <w:hideMark/>
          </w:tcPr>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Проверено: </w:t>
            </w:r>
          </w:p>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p>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отдела муниципальных закупок                                                  </w:t>
            </w:r>
          </w:p>
        </w:tc>
        <w:tc>
          <w:tcPr>
            <w:tcW w:w="3826" w:type="dxa"/>
          </w:tcPr>
          <w:p w:rsidR="00683175" w:rsidRDefault="00683175">
            <w:pPr>
              <w:rPr>
                <w:rFonts w:ascii="Times New Roman" w:eastAsia="Times New Roman" w:hAnsi="Times New Roman" w:cs="Times New Roman"/>
                <w:sz w:val="24"/>
                <w:szCs w:val="24"/>
              </w:rPr>
            </w:pPr>
          </w:p>
        </w:tc>
        <w:tc>
          <w:tcPr>
            <w:tcW w:w="1986" w:type="dxa"/>
            <w:vAlign w:val="bottom"/>
            <w:hideMark/>
          </w:tcPr>
          <w:p w:rsidR="00683175" w:rsidRDefault="00683175">
            <w:pPr>
              <w:rPr>
                <w:rFonts w:ascii="Times New Roman" w:eastAsia="Times New Roman" w:hAnsi="Times New Roman" w:cs="Times New Roman"/>
                <w:sz w:val="24"/>
                <w:szCs w:val="24"/>
              </w:rPr>
            </w:pPr>
            <w:r>
              <w:rPr>
                <w:rFonts w:ascii="Times New Roman" w:eastAsia="Times New Roman" w:hAnsi="Times New Roman" w:cs="Times New Roman"/>
                <w:sz w:val="24"/>
                <w:szCs w:val="24"/>
              </w:rPr>
              <w:t>Н.Б. Захарова</w:t>
            </w:r>
          </w:p>
        </w:tc>
      </w:tr>
    </w:tbl>
    <w:p w:rsidR="00683175" w:rsidRDefault="00683175" w:rsidP="00683175">
      <w:pPr>
        <w:rPr>
          <w:rFonts w:ascii="Times New Roman" w:eastAsia="Times New Roman" w:hAnsi="Times New Roman" w:cs="Times New Roman"/>
          <w:sz w:val="24"/>
          <w:szCs w:val="24"/>
        </w:rPr>
      </w:pPr>
    </w:p>
    <w:p w:rsidR="00683175" w:rsidRDefault="00683175" w:rsidP="00683175">
      <w:pPr>
        <w:widowControl w:val="0"/>
        <w:autoSpaceDE w:val="0"/>
        <w:autoSpaceDN w:val="0"/>
        <w:adjustRightInd w:val="0"/>
        <w:jc w:val="both"/>
        <w:rPr>
          <w:rFonts w:ascii="Times New Roman" w:eastAsia="Times New Roman" w:hAnsi="Times New Roman" w:cs="Times New Roman"/>
          <w:sz w:val="24"/>
          <w:szCs w:val="24"/>
        </w:rPr>
      </w:pPr>
    </w:p>
    <w:p w:rsidR="00683175" w:rsidRDefault="00683175" w:rsidP="00683175"/>
    <w:p w:rsidR="00683175" w:rsidRDefault="00683175" w:rsidP="00683175"/>
    <w:p w:rsidR="00683175" w:rsidRDefault="00683175" w:rsidP="00683175"/>
    <w:p w:rsidR="00683175" w:rsidRDefault="00683175" w:rsidP="00683175"/>
    <w:p w:rsidR="00683175" w:rsidRDefault="00683175" w:rsidP="00683175"/>
    <w:p w:rsidR="00683175" w:rsidRDefault="00683175" w:rsidP="00683175">
      <w:pPr>
        <w:rPr>
          <w:szCs w:val="24"/>
        </w:rPr>
      </w:pPr>
    </w:p>
    <w:p w:rsidR="00E51834" w:rsidRDefault="00E51834"/>
    <w:sectPr w:rsidR="00E51834" w:rsidSect="00A24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683175"/>
    <w:rsid w:val="003459BF"/>
    <w:rsid w:val="00456C80"/>
    <w:rsid w:val="00511FAC"/>
    <w:rsid w:val="00683175"/>
    <w:rsid w:val="007346B4"/>
    <w:rsid w:val="00891905"/>
    <w:rsid w:val="00A24E56"/>
    <w:rsid w:val="00A53311"/>
    <w:rsid w:val="00C52F87"/>
    <w:rsid w:val="00E5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E56"/>
  </w:style>
  <w:style w:type="paragraph" w:styleId="1">
    <w:name w:val="heading 1"/>
    <w:basedOn w:val="a"/>
    <w:next w:val="a"/>
    <w:link w:val="10"/>
    <w:uiPriority w:val="9"/>
    <w:qFormat/>
    <w:rsid w:val="00683175"/>
    <w:pPr>
      <w:keepNext/>
      <w:keepLines/>
      <w:spacing w:before="480" w:after="0" w:line="240" w:lineRule="auto"/>
      <w:outlineLvl w:val="0"/>
    </w:pPr>
    <w:rPr>
      <w:rFonts w:ascii="Cambria" w:eastAsia="Times New Roman" w:hAnsi="Cambria" w:cs="Times New Roman"/>
      <w:b/>
      <w:bCs/>
      <w:color w:val="365F91"/>
      <w:sz w:val="28"/>
      <w:szCs w:val="28"/>
    </w:rPr>
  </w:style>
  <w:style w:type="paragraph" w:styleId="3">
    <w:name w:val="heading 3"/>
    <w:basedOn w:val="a"/>
    <w:next w:val="a"/>
    <w:link w:val="30"/>
    <w:semiHidden/>
    <w:unhideWhenUsed/>
    <w:qFormat/>
    <w:rsid w:val="0068317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68317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75"/>
    <w:rPr>
      <w:rFonts w:ascii="Cambria" w:eastAsia="Times New Roman" w:hAnsi="Cambria" w:cs="Times New Roman"/>
      <w:b/>
      <w:bCs/>
      <w:color w:val="365F91"/>
      <w:sz w:val="28"/>
      <w:szCs w:val="28"/>
    </w:rPr>
  </w:style>
  <w:style w:type="character" w:customStyle="1" w:styleId="30">
    <w:name w:val="Заголовок 3 Знак"/>
    <w:basedOn w:val="a0"/>
    <w:link w:val="3"/>
    <w:semiHidden/>
    <w:rsid w:val="00683175"/>
    <w:rPr>
      <w:rFonts w:ascii="Arial" w:eastAsia="Times New Roman" w:hAnsi="Arial" w:cs="Arial"/>
      <w:b/>
      <w:bCs/>
      <w:sz w:val="26"/>
      <w:szCs w:val="26"/>
    </w:rPr>
  </w:style>
  <w:style w:type="character" w:customStyle="1" w:styleId="40">
    <w:name w:val="Заголовок 4 Знак"/>
    <w:basedOn w:val="a0"/>
    <w:link w:val="4"/>
    <w:semiHidden/>
    <w:rsid w:val="00683175"/>
    <w:rPr>
      <w:rFonts w:ascii="Times New Roman" w:eastAsia="Times New Roman" w:hAnsi="Times New Roman" w:cs="Times New Roman"/>
      <w:b/>
      <w:bCs/>
      <w:sz w:val="28"/>
      <w:szCs w:val="28"/>
    </w:rPr>
  </w:style>
  <w:style w:type="character" w:styleId="a3">
    <w:name w:val="Hyperlink"/>
    <w:semiHidden/>
    <w:unhideWhenUsed/>
    <w:rsid w:val="00683175"/>
    <w:rPr>
      <w:color w:val="0000FF"/>
      <w:u w:val="single"/>
    </w:rPr>
  </w:style>
  <w:style w:type="paragraph" w:styleId="a4">
    <w:name w:val="Normal (Web)"/>
    <w:basedOn w:val="a"/>
    <w:uiPriority w:val="99"/>
    <w:unhideWhenUsed/>
    <w:rsid w:val="0068317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683175"/>
    <w:pPr>
      <w:spacing w:after="0" w:line="240" w:lineRule="auto"/>
    </w:pPr>
  </w:style>
  <w:style w:type="paragraph" w:styleId="a6">
    <w:name w:val="List Paragraph"/>
    <w:basedOn w:val="a"/>
    <w:uiPriority w:val="99"/>
    <w:qFormat/>
    <w:rsid w:val="00683175"/>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8317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83175"/>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0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2776</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2016-12-27T19:48:00Z</cp:lastPrinted>
  <dcterms:created xsi:type="dcterms:W3CDTF">2016-11-30T15:21:00Z</dcterms:created>
  <dcterms:modified xsi:type="dcterms:W3CDTF">2016-12-30T06:37:00Z</dcterms:modified>
</cp:coreProperties>
</file>