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drawings/drawing4.xml" ContentType="application/vnd.openxmlformats-officedocument.drawingml.chartshapes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1" w:rsidRDefault="0093238E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153035</wp:posOffset>
                </wp:positionV>
                <wp:extent cx="6664325" cy="9844405"/>
                <wp:effectExtent l="0" t="0" r="22225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325" cy="9844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  <w:t xml:space="preserve">Мониторинг качества финансового </w:t>
                            </w: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  <w:t>менеджмента</w:t>
                            </w:r>
                          </w:p>
                          <w:p w:rsidR="0060764D" w:rsidRDefault="0060764D">
                            <w:pPr>
                              <w:tabs>
                                <w:tab w:val="left" w:pos="8903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b/>
                                <w:sz w:val="40"/>
                                <w:szCs w:val="40"/>
                              </w:rPr>
                              <w:t xml:space="preserve">по итогам за 2021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2.35pt;margin-top:12.05pt;width:524.75pt;height:7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smJAIAAEgEAAAOAAAAZHJzL2Uyb0RvYy54bWysVNuO0zAQfUfiHyy/06QlLd2o6WrVpQhp&#10;gRULH+A4TmLhG2O3yfL1jJ1uKRfxgMiD5fGMj8+cmcnmetSKHAV4aU1F57OcEmG4baTpKvr50/7F&#10;mhIfmGmYskZU9FF4er19/mwzuFIsbG9VI4AgiPHl4Crah+DKLPO8F5r5mXXCoLO1oFlAE7qsATYg&#10;ulbZIs9X2WChcWC58B5Pbycn3Sb8thU8fGhbLwJRFUVuIa2Q1jqu2XbDyg6Y6yU/0WD/wEIzafDR&#10;M9QtC4wcQP4GpSUH620bZtzqzLat5CLlgNnM81+yeeiZEykXFMe7s0z+/8Hy98d7ILLB2lFimMYS&#10;fUTRmOmUIEWUZ3C+xKgHdw8xQe/uLP/iibG7HqPEDYAdesEaJDWP8dlPF6Lh8Sqph3e2QXR2CDYp&#10;NbagIyBqQMZUkMdzQcQYCMfD1WpVvFwsKeHou1oXRZEnThkrn6478OGNsJrETUUBySd4drzzIdJh&#10;5VNIom+VbPZSqWRAV+8UkCPD7tinL2WAWV6GKUMGfH6JRP4OkafvTxBaBmxzJXVF1+cgVkbdXpsm&#10;NWFgUk17pKzMScio3VSDMNbjqRy1bR5RUrBTO+P44aa38I2SAVu5ov7rgYGgRL01WJarOeqGvZ+M&#10;YvlqgQZceupLDzMcoSoaKJm2uzDNy8GB7Hp8aZ5kMPYGS9nKJHIs88TqxBvbNWl/Gq04D5d2ivrx&#10;A9h+BwAA//8DAFBLAwQUAAYACAAAACEA6VFQNuAAAAAMAQAADwAAAGRycy9kb3ducmV2LnhtbEyP&#10;wU7DMAyG70i8Q2QkbluyEBiUphMCDYnj1l24uU1oC41TNelWeHqyE9xs+dPv7883s+vZ0Y6h86Rh&#10;tRTALNXedNRoOJTbxT2wEJEM9p6shm8bYFNcXuSYGX+inT3uY8NSCIUMNbQxDhnnoW6tw7D0g6V0&#10;+/Cjw5jWseFmxFMKdz2XQtxxhx2lDy0O9rm19dd+chqqTh7wZ1e+CvewvYlvc/k5vb9ofX01Pz0C&#10;i3aOfzCc9ZM6FMmp8hOZwHoNC6nWCdUg1QrYGRBSpTJVmm7XSgEvcv6/RPELAAD//wMAUEsBAi0A&#10;FAAGAAgAAAAhALaDOJL+AAAA4QEAABMAAAAAAAAAAAAAAAAAAAAAAFtDb250ZW50X1R5cGVzXS54&#10;bWxQSwECLQAUAAYACAAAACEAOP0h/9YAAACUAQAACwAAAAAAAAAAAAAAAAAvAQAAX3JlbHMvLnJl&#10;bHNQSwECLQAUAAYACAAAACEApgBbJiQCAABIBAAADgAAAAAAAAAAAAAAAAAuAgAAZHJzL2Uyb0Rv&#10;Yy54bWxQSwECLQAUAAYACAAAACEA6VFQNuAAAAAMAQAADwAAAAAAAAAAAAAAAAB+BAAAZHJzL2Rv&#10;d25yZXYueG1sUEsFBgAAAAAEAAQA8wAAAIsFAAAAAA==&#10;">
                <v:textbox>
                  <w:txbxContent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D74631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74631" w:rsidRDefault="0093238E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 xml:space="preserve">Мониторинг качества финансового </w:t>
                      </w:r>
                    </w:p>
                    <w:p w:rsidR="00D74631" w:rsidRDefault="0093238E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>менеджмента</w:t>
                      </w:r>
                    </w:p>
                    <w:p w:rsidR="00D74631" w:rsidRDefault="0093238E">
                      <w:pPr>
                        <w:tabs>
                          <w:tab w:val="left" w:pos="8903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T Astra Serif" w:hAnsi="PT Astra Serif" w:cs="Times New Roman"/>
                          <w:b/>
                          <w:sz w:val="40"/>
                          <w:szCs w:val="40"/>
                        </w:rPr>
                        <w:t xml:space="preserve">по итогам за 2021 год </w:t>
                      </w:r>
                    </w:p>
                  </w:txbxContent>
                </v:textbox>
              </v:rect>
            </w:pict>
          </mc:Fallback>
        </mc:AlternateContent>
      </w: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93238E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отчет о результатах мониторинга качества финансового </w:t>
      </w:r>
    </w:p>
    <w:p w:rsidR="00D74631" w:rsidRDefault="0093238E">
      <w:pPr>
        <w:tabs>
          <w:tab w:val="left" w:pos="8903"/>
        </w:tabs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lastRenderedPageBreak/>
        <w:t>Сводный отчет о результатах мониторинга качества финансового менеджмента по итогам за 2021 год</w:t>
      </w:r>
    </w:p>
    <w:p w:rsidR="00D74631" w:rsidRDefault="00D74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Мониторинг качества финансового менеджмента по итогам за 2021 год проводился на основе показателей, указанных в приложении 1 к Порядку проведения мониторинга качества финансового менеджмента, утверждённому приказом </w:t>
      </w:r>
      <w:proofErr w:type="gramStart"/>
      <w:r>
        <w:rPr>
          <w:rFonts w:ascii="PT Astra Serif" w:hAnsi="PT Astra Serif" w:cs="Times New Roman"/>
          <w:sz w:val="24"/>
          <w:szCs w:val="24"/>
        </w:rPr>
        <w:t>директора департамента финансов администрации города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Югорска от 31.05.2022 № 29п «Об организации проведения мониторинга качества финансового менеджмента».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Мониторинг качества финансового менеджмента (далее – Мониторинг) по итогам за  2021 год проводился на основании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данных и материалов, представленных главными распорядителями средств бюджета города Югорска, главными администраторами доходов бюджета города Югорска и главными администраторами источников финансирования дефицита бюджета города Югорска в Департамент финансов </w:t>
      </w:r>
      <w:r>
        <w:rPr>
          <w:rFonts w:ascii="PT Astra Serif" w:hAnsi="PT Astra Serif" w:cs="Times New Roman"/>
          <w:sz w:val="24"/>
          <w:szCs w:val="24"/>
        </w:rPr>
        <w:t>администрации города Югорска, а также общедоступных (опубликованных или размещенных на официальном сайте органов местного самоуправления города Югорска в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сети Интернет) сведений,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с использованием методики балльной оценки качества финансового менеджмента </w:t>
      </w:r>
      <w:r>
        <w:rPr>
          <w:rFonts w:ascii="PT Astra Serif" w:hAnsi="PT Astra Serif" w:cs="Times New Roman"/>
          <w:sz w:val="24"/>
          <w:szCs w:val="24"/>
        </w:rPr>
        <w:t>по следующим группам показателей:</w:t>
      </w:r>
    </w:p>
    <w:p w:rsidR="00D74631" w:rsidRDefault="0093238E">
      <w:pPr>
        <w:pStyle w:val="af3"/>
        <w:numPr>
          <w:ilvl w:val="0"/>
          <w:numId w:val="7"/>
        </w:numPr>
        <w:spacing w:line="240" w:lineRule="auto"/>
        <w:ind w:hanging="11"/>
        <w:rPr>
          <w:rFonts w:ascii="PT Astra Serif" w:hAnsi="PT Astra Serif"/>
        </w:rPr>
      </w:pPr>
      <w:r>
        <w:rPr>
          <w:rFonts w:ascii="PT Astra Serif" w:hAnsi="PT Astra Serif"/>
        </w:rPr>
        <w:t xml:space="preserve">Оценка качества управления расходами бюджета; </w:t>
      </w:r>
    </w:p>
    <w:p w:rsidR="00D74631" w:rsidRDefault="0093238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Оценка качества управления доходами и источниками финансирования дефицита бюджета; </w:t>
      </w:r>
    </w:p>
    <w:p w:rsidR="00D74631" w:rsidRDefault="0093238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Оценка качества ведения учета и составления бюджетной отчетности; </w:t>
      </w:r>
    </w:p>
    <w:p w:rsidR="00D74631" w:rsidRDefault="0093238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качества организации и осуществления внутреннего аудита;</w:t>
      </w:r>
    </w:p>
    <w:p w:rsidR="00D74631" w:rsidRDefault="0093238E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Оц</w:t>
      </w:r>
      <w:r>
        <w:rPr>
          <w:rFonts w:ascii="PT Astra Serif" w:hAnsi="PT Astra Serif" w:cs="Times New Roman"/>
          <w:sz w:val="24"/>
          <w:szCs w:val="24"/>
        </w:rPr>
        <w:t>енка качества управления активами.</w:t>
      </w:r>
    </w:p>
    <w:p w:rsidR="00D74631" w:rsidRDefault="00D74631">
      <w:pPr>
        <w:shd w:val="clear" w:color="auto" w:fill="FFFFFF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35190" cy="3268980"/>
            <wp:effectExtent l="0" t="0" r="0" b="762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4631" w:rsidRDefault="00D746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Мониторинг проводился по 48 показателям.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Основными группами показателей в оценке качества финансового менеджмента являются: «Оценка качества управления расходами бюджета» и «Оценка качества управления доходами и источниками финансирования дефицита бюджета», имеющие удельный вес по количеству показателей 68,8% и 14,6% соответственно. Группы показателей «Оценка качества ведения учета и составления бюджетной отчетности», «Оценка качества управления активами», «Оценка качества организации и осуществления внутреннего аудита» имеют удельный вес 10,4%, 4,1%, 2,1% соответственно.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Качество финансового менеджмента в существенной степени зависит от организации главными распорядителями средств бюджета города Югорска (далее – ГРБС) процедур бюджетного планирования, исполнения бюджета, ведения бюджетного учета, составления и представления бюджетной отчетности. Поэтому при оценке качества финансового менеджмента важное место занимает наличие и качество подготовки правовых актов ГРБС, регулирующих внутренние процедуры подготовки бюджетных проектировок, составления, утверждения и </w:t>
      </w:r>
      <w:r>
        <w:rPr>
          <w:rFonts w:ascii="PT Astra Serif" w:eastAsia="Times New Roman" w:hAnsi="PT Astra Serif" w:cs="Times New Roman"/>
          <w:sz w:val="24"/>
          <w:szCs w:val="24"/>
        </w:rPr>
        <w:lastRenderedPageBreak/>
        <w:t xml:space="preserve">ведения бюджетных смет, распределения бюджетных ассигнований между подведомственными муниципальными учреждениями с учетом достижения непосредственных результатов в отчетном периоде, составления и утверждения планов финансово-хозяйственной деятельности. 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В ходе Мониторинга были рассчитаны количественные показатели качества финансового менеджмента, наиболее значимыми из которых являются: 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- качество и своевременность предоставления документов и материалов, необходимых для составления проекта бюджета города, обоснований бюджетных ассигнований, бюджетной отчетности и аналитической информации;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eastAsia="Times New Roman" w:hAnsi="PT Astra Serif" w:cs="Times New Roman"/>
          <w:sz w:val="24"/>
          <w:szCs w:val="24"/>
        </w:rPr>
        <w:t>информация, необходимая для разработки прогноза и итогов социально-экономического развития города, фрагментов реестров расходных обязательств;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- доля суммы изменений в сводную бюджетную роспись и бюджетную роспись ГРБС за счет перераспределения ассигнований внутри ГРБС;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- доля исполненных бюджетных ассигнований, процент исполнения доходов, администрируемых ГАДБ;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- равномерность расходов;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- качество составления ГРБС прогнозов отдельных кассовых выплат по расходам;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- динамика объема доходов муниципальных бюджетных и автономных учреждений, подведомственных ГРБС, от оказания платных услуг.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Оценка качества финансового менеджмента по итогам за 2021 год проводилась по 8 ГАБС: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не </w:t>
      </w:r>
      <w:proofErr w:type="gramStart"/>
      <w:r>
        <w:rPr>
          <w:rFonts w:ascii="PT Astra Serif" w:hAnsi="PT Astra Serif" w:cs="Times New Roman"/>
          <w:sz w:val="24"/>
          <w:szCs w:val="24"/>
        </w:rPr>
        <w:t>имеющим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подведомственные муниципальные учреждения;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proofErr w:type="gramStart"/>
      <w:r>
        <w:rPr>
          <w:rFonts w:ascii="PT Astra Serif" w:hAnsi="PT Astra Serif" w:cs="Times New Roman"/>
          <w:sz w:val="24"/>
          <w:szCs w:val="24"/>
        </w:rPr>
        <w:t>имеющим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подведомственные муниципальные учреждения</w:t>
      </w:r>
      <w:r w:rsidR="00245FFA">
        <w:rPr>
          <w:rFonts w:ascii="PT Astra Serif" w:hAnsi="PT Astra Serif" w:cs="Times New Roman"/>
          <w:sz w:val="24"/>
          <w:szCs w:val="24"/>
        </w:rPr>
        <w:t>.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0" w:name="sub_2752"/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Рейтинг ГАБС сформирован раздельно:</w:t>
      </w:r>
      <w:bookmarkEnd w:id="0"/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 ГАБС, не </w:t>
      </w:r>
      <w:proofErr w:type="gramStart"/>
      <w:r>
        <w:rPr>
          <w:rFonts w:ascii="PT Astra Serif" w:hAnsi="PT Astra Serif" w:cs="Times New Roman"/>
          <w:sz w:val="24"/>
          <w:szCs w:val="24"/>
        </w:rPr>
        <w:t>имеющим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подведомственную сеть учреждений (Дума города Югорска, Департамент финансов, Департамент жилищно-коммунального и строительного комплекса);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 ГАБС, </w:t>
      </w:r>
      <w:proofErr w:type="gramStart"/>
      <w:r>
        <w:rPr>
          <w:rFonts w:ascii="PT Astra Serif" w:hAnsi="PT Astra Serif" w:cs="Times New Roman"/>
          <w:sz w:val="24"/>
          <w:szCs w:val="24"/>
        </w:rPr>
        <w:t>имеющим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в подведомственности муниципальные бюджетные, автономные и казенные учреждения (Администрация города Югорска, Управление образования, Управление культуры, Управление социальной политики, Департамент муниципальной собственности и градостроительства).</w:t>
      </w:r>
    </w:p>
    <w:p w:rsidR="00D74631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По результатам Мониторинга определена итоговая балльная оценка качества финансового менеджмента каждого ГАБС (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val="en-US"/>
        </w:rPr>
        <w:t>Gn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>), сформирован рейтинг, а также рассчитана средняя итоговая балльная оценка качества финансового менеджмента.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Наибольший средний балл наблюдается по группе показателей «Оценка качества управления активами» – 100,0 баллов. Наименьший средний балл сложился по группе показателей «Оценка качества организации и осуществления внутреннего аудита» – 43,3 балла.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Средние итоговые балльные оценки качества финансового менеджмента (</w:t>
      </w:r>
      <w:r>
        <w:rPr>
          <w:rFonts w:ascii="PT Astra Serif" w:hAnsi="PT Astra Serif" w:cs="Times New Roman"/>
          <w:sz w:val="24"/>
          <w:szCs w:val="24"/>
          <w:lang w:val="en-US"/>
        </w:rPr>
        <w:t>MR</w:t>
      </w:r>
      <w:r>
        <w:rPr>
          <w:rFonts w:ascii="PT Astra Serif" w:hAnsi="PT Astra Serif" w:cs="Times New Roman"/>
          <w:sz w:val="24"/>
          <w:szCs w:val="24"/>
        </w:rPr>
        <w:t>) по итогам за 2021 год в разрезе групп показателей приведены далее.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7495" cy="3901440"/>
            <wp:effectExtent l="0" t="0" r="1905" b="381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4631" w:rsidRDefault="00D7463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Итоговые значения показателей и оценки показателей в баллах в разрезе ГАБС, значения и динамика итоговой балльной оценки качества финансового менеджмента в разрезе ГАБС, а также рейтинг ГАБС представлены в приложениях 1, 2 к результатам Мониторинга по итогам 2021 года.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итоговая балльная оценка качества финансового менеджмента по итогам за 2021 год составила 82,4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Из 8 оцениваемых ГАБС 3 – Департамент финансов, Дума города Югорска, </w:t>
      </w:r>
      <w:r w:rsidR="007939CA">
        <w:rPr>
          <w:rFonts w:ascii="PT Astra Serif" w:hAnsi="PT Astra Serif" w:cs="Times New Roman"/>
          <w:sz w:val="24"/>
          <w:szCs w:val="24"/>
        </w:rPr>
        <w:t>У</w:t>
      </w:r>
      <w:r>
        <w:rPr>
          <w:rFonts w:ascii="PT Astra Serif" w:hAnsi="PT Astra Serif" w:cs="Times New Roman"/>
          <w:sz w:val="24"/>
          <w:szCs w:val="24"/>
        </w:rPr>
        <w:t>правление образования (37,5% от оцениваемого количества) имеют итоговые балльные оценки качества финансового менеджмента выше 90,0 баллов и характеристику уровня качества финансового менеджмента «высокий».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Остальные 5 ГАБС имеют характеристику уровня качества финансового менеджмента «средний». ГАБС, имеющие характеристику уровня качества финансового менеджмента «низкий», отсутствуют.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Таким образом, все ГАБС имеют характеристику уровня качества финансового менеджмента «высокий» и «средний».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Из 8 оцениваемых ГАБС 3 (37,5% от оцениваемого количества) имеют итоговые балльные оценки качества финансового менеджмента выше среднего балла (Депар</w:t>
      </w:r>
      <w:r w:rsidR="00D67EDE">
        <w:rPr>
          <w:rFonts w:ascii="PT Astra Serif" w:hAnsi="PT Astra Serif" w:cs="Times New Roman"/>
          <w:sz w:val="24"/>
          <w:szCs w:val="24"/>
        </w:rPr>
        <w:t>тамент финансов – на 16,7 балла</w:t>
      </w:r>
      <w:r>
        <w:rPr>
          <w:rFonts w:ascii="PT Astra Serif" w:hAnsi="PT Astra Serif" w:cs="Times New Roman"/>
          <w:sz w:val="24"/>
          <w:szCs w:val="24"/>
        </w:rPr>
        <w:t>,  Дума города Югорска - на 11,9 балла, Управление образования – на 9,3 балла).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 остальных 5 ГАБС итоговые оценки ниже среднего балла (</w:t>
      </w:r>
      <w:r w:rsidR="00131089">
        <w:rPr>
          <w:rFonts w:ascii="PT Astra Serif" w:hAnsi="PT Astra Serif" w:cs="Times New Roman"/>
          <w:sz w:val="24"/>
          <w:szCs w:val="24"/>
        </w:rPr>
        <w:t xml:space="preserve">у </w:t>
      </w:r>
      <w:r>
        <w:rPr>
          <w:rFonts w:ascii="PT Astra Serif" w:hAnsi="PT Astra Serif" w:cs="Times New Roman"/>
          <w:sz w:val="24"/>
          <w:szCs w:val="24"/>
        </w:rPr>
        <w:t xml:space="preserve">Департамента жилищно – коммунального и строительного комплекса - на 7,4 балла, </w:t>
      </w:r>
      <w:r w:rsidR="00131089">
        <w:rPr>
          <w:rFonts w:ascii="PT Astra Serif" w:hAnsi="PT Astra Serif" w:cs="Times New Roman"/>
          <w:sz w:val="24"/>
          <w:szCs w:val="24"/>
        </w:rPr>
        <w:t xml:space="preserve">у </w:t>
      </w:r>
      <w:r>
        <w:rPr>
          <w:rFonts w:ascii="PT Astra Serif" w:hAnsi="PT Astra Serif" w:cs="Times New Roman"/>
          <w:sz w:val="24"/>
          <w:szCs w:val="24"/>
        </w:rPr>
        <w:t xml:space="preserve">Департамента муниципальной собственности и градостроительства – на 8,3 балла, </w:t>
      </w:r>
      <w:r w:rsidR="00131089">
        <w:rPr>
          <w:rFonts w:ascii="PT Astra Serif" w:hAnsi="PT Astra Serif" w:cs="Times New Roman"/>
          <w:sz w:val="24"/>
          <w:szCs w:val="24"/>
        </w:rPr>
        <w:t xml:space="preserve">у </w:t>
      </w:r>
      <w:r>
        <w:rPr>
          <w:rFonts w:ascii="PT Astra Serif" w:hAnsi="PT Astra Serif" w:cs="Times New Roman"/>
          <w:sz w:val="24"/>
          <w:szCs w:val="24"/>
        </w:rPr>
        <w:t xml:space="preserve">Управления социальной </w:t>
      </w:r>
      <w:r w:rsidR="00131089">
        <w:rPr>
          <w:rFonts w:ascii="PT Astra Serif" w:hAnsi="PT Astra Serif" w:cs="Times New Roman"/>
          <w:sz w:val="24"/>
          <w:szCs w:val="24"/>
        </w:rPr>
        <w:t>политики – на 11,7</w:t>
      </w:r>
      <w:r>
        <w:rPr>
          <w:rFonts w:ascii="PT Astra Serif" w:hAnsi="PT Astra Serif" w:cs="Times New Roman"/>
          <w:sz w:val="24"/>
          <w:szCs w:val="24"/>
        </w:rPr>
        <w:t xml:space="preserve"> баллов, </w:t>
      </w:r>
      <w:r w:rsidR="00131089">
        <w:rPr>
          <w:rFonts w:ascii="PT Astra Serif" w:hAnsi="PT Astra Serif" w:cs="Times New Roman"/>
          <w:sz w:val="24"/>
          <w:szCs w:val="24"/>
        </w:rPr>
        <w:t xml:space="preserve">у </w:t>
      </w:r>
      <w:r>
        <w:rPr>
          <w:rFonts w:ascii="PT Astra Serif" w:hAnsi="PT Astra Serif" w:cs="Times New Roman"/>
          <w:sz w:val="24"/>
          <w:szCs w:val="24"/>
        </w:rPr>
        <w:t xml:space="preserve">Управления культуры – на 11,8 балла, </w:t>
      </w:r>
      <w:r w:rsidR="00131089">
        <w:rPr>
          <w:rFonts w:ascii="PT Astra Serif" w:hAnsi="PT Astra Serif" w:cs="Times New Roman"/>
          <w:sz w:val="24"/>
          <w:szCs w:val="24"/>
        </w:rPr>
        <w:t xml:space="preserve">у </w:t>
      </w:r>
      <w:r>
        <w:rPr>
          <w:rFonts w:ascii="PT Astra Serif" w:hAnsi="PT Astra Serif" w:cs="Times New Roman"/>
          <w:sz w:val="24"/>
          <w:szCs w:val="24"/>
        </w:rPr>
        <w:t>Администрации города Югорска - на 13,0 баллов).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Самое меньшее количество баллов набрала Администрация города Югорска (69,4 балла), самое высокое количество баллов - Департамент финансов (99,1 балла).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результатам проведенного мониторинга качества финансового менеджмента итоговые балльные оценки качества финансового менеджмента в разрезе ГАБС сложились следующим образом.</w:t>
      </w:r>
    </w:p>
    <w:p w:rsidR="00D74631" w:rsidRDefault="00D7463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0510" cy="4968240"/>
            <wp:effectExtent l="0" t="0" r="8890" b="381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4631" w:rsidRDefault="00D7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балльная оценка ГАБС, </w:t>
      </w:r>
      <w:r>
        <w:rPr>
          <w:rFonts w:ascii="PT Astra Serif" w:hAnsi="PT Astra Serif" w:cs="Times New Roman"/>
          <w:sz w:val="24"/>
          <w:szCs w:val="24"/>
        </w:rPr>
        <w:t xml:space="preserve">не имеющих подведомственных муниципальных учреждений, составила </w:t>
      </w:r>
      <w:r w:rsidR="00524C5A">
        <w:rPr>
          <w:rFonts w:ascii="PT Astra Serif" w:hAnsi="PT Astra Serif" w:cs="Times New Roman"/>
          <w:sz w:val="24"/>
          <w:szCs w:val="24"/>
        </w:rPr>
        <w:t>89,5</w:t>
      </w:r>
      <w:r>
        <w:rPr>
          <w:rFonts w:ascii="PT Astra Serif" w:hAnsi="PT Astra Serif" w:cs="Times New Roman"/>
          <w:sz w:val="24"/>
          <w:szCs w:val="24"/>
        </w:rPr>
        <w:t xml:space="preserve">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В ранжировании ГАБС, не имеющих в </w:t>
      </w:r>
      <w:r w:rsidR="00B11979">
        <w:rPr>
          <w:rFonts w:ascii="PT Astra Serif" w:hAnsi="PT Astra Serif" w:cs="Times New Roman"/>
          <w:sz w:val="24"/>
          <w:szCs w:val="24"/>
        </w:rPr>
        <w:t xml:space="preserve">подведомственных </w:t>
      </w:r>
      <w:r>
        <w:rPr>
          <w:rFonts w:ascii="PT Astra Serif" w:hAnsi="PT Astra Serif" w:cs="Times New Roman"/>
          <w:sz w:val="24"/>
          <w:szCs w:val="24"/>
        </w:rPr>
        <w:t>муниципальных учреждений, итоговые балльные оценки качества финансового менеджмента сложились следующим образом:</w:t>
      </w:r>
      <w:proofErr w:type="gramEnd"/>
    </w:p>
    <w:p w:rsidR="00D74631" w:rsidRDefault="0093238E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Департамент финансов (99,1 балла);</w:t>
      </w:r>
    </w:p>
    <w:p w:rsidR="00D74631" w:rsidRDefault="0093238E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Дума города Югорска (94,3 балла);</w:t>
      </w:r>
    </w:p>
    <w:p w:rsidR="00D74631" w:rsidRDefault="0093238E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Департамент жилищно – коммунального и строительного комплекса (75,0 балл</w:t>
      </w:r>
      <w:r w:rsidR="00EC598C">
        <w:rPr>
          <w:rFonts w:ascii="PT Astra Serif" w:hAnsi="PT Astra Serif"/>
        </w:rPr>
        <w:t>ов</w:t>
      </w:r>
      <w:r>
        <w:rPr>
          <w:rFonts w:ascii="PT Astra Serif" w:hAnsi="PT Astra Serif"/>
        </w:rPr>
        <w:t>).</w:t>
      </w:r>
    </w:p>
    <w:p w:rsidR="00D74631" w:rsidRDefault="0093238E">
      <w:pPr>
        <w:spacing w:after="0" w:line="240" w:lineRule="auto"/>
        <w:ind w:left="14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20840" cy="4797631"/>
            <wp:effectExtent l="0" t="0" r="3810" b="3175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4631" w:rsidRDefault="00D74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31" w:rsidRDefault="00932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балльная оценка ГАБС, </w:t>
      </w:r>
      <w:proofErr w:type="gramStart"/>
      <w:r>
        <w:rPr>
          <w:rFonts w:ascii="PT Astra Serif" w:hAnsi="PT Astra Serif" w:cs="Times New Roman"/>
          <w:sz w:val="24"/>
          <w:szCs w:val="24"/>
        </w:rPr>
        <w:t>имеющих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подведомственные муниципальные учреждения, составила 75,3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ранжировании ГАБС, </w:t>
      </w:r>
      <w:proofErr w:type="gramStart"/>
      <w:r>
        <w:rPr>
          <w:rFonts w:ascii="PT Astra Serif" w:hAnsi="PT Astra Serif" w:cs="Times New Roman"/>
          <w:sz w:val="24"/>
          <w:szCs w:val="24"/>
        </w:rPr>
        <w:t>имеющих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подведомственные муниципальные учреждения, наилучшие итоговые оценки качества финансового менеджмента имеют следующие:</w:t>
      </w:r>
    </w:p>
    <w:p w:rsidR="00D74631" w:rsidRDefault="0093238E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Управление образования (91,7 балла);</w:t>
      </w:r>
    </w:p>
    <w:p w:rsidR="00D74631" w:rsidRDefault="0093238E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Департамент муниципальной собственности и градостроительства (74,1 балла)</w:t>
      </w:r>
    </w:p>
    <w:p w:rsidR="00D74631" w:rsidRDefault="0093238E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Управление социальной политики (70,7 балла),</w:t>
      </w:r>
    </w:p>
    <w:p w:rsidR="00D74631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занимающие 1, 2, 3 места в рейтинге соответственно.</w:t>
      </w:r>
    </w:p>
    <w:p w:rsidR="00D74631" w:rsidRDefault="0093238E">
      <w:pPr>
        <w:pStyle w:val="af3"/>
        <w:tabs>
          <w:tab w:val="left" w:pos="8287"/>
        </w:tabs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Самый низкий рейтинг имеют:</w:t>
      </w:r>
      <w:r>
        <w:rPr>
          <w:rFonts w:ascii="PT Astra Serif" w:hAnsi="PT Astra Serif"/>
        </w:rPr>
        <w:tab/>
      </w:r>
    </w:p>
    <w:p w:rsidR="00D74631" w:rsidRDefault="0093238E">
      <w:pPr>
        <w:pStyle w:val="af3"/>
        <w:numPr>
          <w:ilvl w:val="0"/>
          <w:numId w:val="12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Управление культуры (70,6 балла);</w:t>
      </w:r>
    </w:p>
    <w:p w:rsidR="00D74631" w:rsidRDefault="0093238E">
      <w:pPr>
        <w:pStyle w:val="af3"/>
        <w:numPr>
          <w:ilvl w:val="0"/>
          <w:numId w:val="12"/>
        </w:numPr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Администрация города Югорска (69,4 балла).</w:t>
      </w:r>
    </w:p>
    <w:p w:rsidR="00D74631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занимающие 4 и 5 места в рейтинге соответственно.</w:t>
      </w:r>
    </w:p>
    <w:p w:rsidR="00D74631" w:rsidRDefault="00D74631">
      <w:pPr>
        <w:pStyle w:val="af3"/>
        <w:spacing w:line="240" w:lineRule="auto"/>
        <w:ind w:left="709"/>
        <w:rPr>
          <w:b/>
        </w:rPr>
      </w:pPr>
    </w:p>
    <w:p w:rsidR="00D74631" w:rsidRDefault="0093238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78854" cy="3423513"/>
            <wp:effectExtent l="0" t="0" r="3175" b="5715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4631" w:rsidRDefault="0093238E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Далее приведена оценка качества финансового менеджмента в разрезе каждого показателя.</w:t>
      </w:r>
    </w:p>
    <w:p w:rsidR="00D74631" w:rsidRDefault="0093238E">
      <w:pPr>
        <w:numPr>
          <w:ilvl w:val="0"/>
          <w:numId w:val="8"/>
        </w:num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Оценка качества управления расходами бюджета</w:t>
      </w:r>
    </w:p>
    <w:p w:rsidR="00D74631" w:rsidRDefault="00D74631">
      <w:pPr>
        <w:spacing w:after="0" w:line="240" w:lineRule="auto"/>
        <w:ind w:left="720"/>
        <w:rPr>
          <w:rFonts w:ascii="PT Astra Serif" w:hAnsi="PT Astra Serif"/>
          <w:b/>
          <w:sz w:val="24"/>
          <w:szCs w:val="24"/>
        </w:rPr>
      </w:pP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планирования расходов использовались: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данные автоматизированной системы «Бюджет» о плановых назначениях, о кассовом исполнении за 2021 год расходов на реализацию муниципальных программ города Югорска;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правовые акты ГРБС;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справки о внесении изменений в сводную бюджетную роспись бюджета города Югорска в случае перераспределения бюджетных ассигнований в разрезе кодов бюджетной классификации расходов;</w:t>
      </w:r>
    </w:p>
    <w:p w:rsidR="00D74631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реестр департамента финансов предоставленных ГАБС документов и материалов, необходимых для составления проекта бюджета города</w:t>
      </w:r>
      <w:r w:rsidR="0093238E">
        <w:rPr>
          <w:rFonts w:ascii="PT Astra Serif" w:hAnsi="PT Astra Serif" w:cs="Times New Roman"/>
          <w:sz w:val="24"/>
          <w:szCs w:val="24"/>
        </w:rPr>
        <w:t>;</w:t>
      </w:r>
    </w:p>
    <w:p w:rsidR="004C005D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факты доработки, исправления ошибок в документах и материалах, необходимых для составления проекта бюджета города</w:t>
      </w:r>
    </w:p>
    <w:p w:rsidR="004C005D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письма ГАБС о представлении фрагментов реестров расходных обязательств;</w:t>
      </w:r>
    </w:p>
    <w:p w:rsidR="004C005D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правовые акты ГРБС об утверждении значений объема нормативных затрат на оказание муниципальных услуг (выполнение муниципальных работ);</w:t>
      </w:r>
    </w:p>
    <w:p w:rsidR="004C005D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информация ГАБС об осуществлении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контроля за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выполнением подведомственными муниципальными бюджетными и автономными  учреждениями муниципального задания;</w:t>
      </w:r>
    </w:p>
    <w:p w:rsidR="004C005D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информация ГАБС об изучении мнения населения о качестве оказания муниципальных услуг (выполнения работ);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информация, размещенная на официальном сайте органов местного самоуправления</w:t>
      </w:r>
      <w:r w:rsidR="000A3CAD">
        <w:rPr>
          <w:rFonts w:ascii="PT Astra Serif" w:hAnsi="PT Astra Serif" w:cs="Times New Roman"/>
          <w:sz w:val="24"/>
          <w:szCs w:val="24"/>
        </w:rPr>
        <w:t xml:space="preserve"> города Югорска в сети Интернет;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пояснительные записки ГАБС с отражением причин отклонения кассовых выплат от показателей, указанных в прогнозах отдельных кассовых выплат по расходам;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годовая отчетность ГАБС;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Отчеты ГРБС о выполнении муниципальных заданий на оказание муниципальных услуг (выполнение работ) подведомственными учреждениями;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реестры ГАБС, подтверждающие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обязательств;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предъявленные к оплате за счет средств местного бюджета судебные акты о возмещении ущерба в результате незаконных д</w:t>
      </w:r>
      <w:r w:rsidR="007E5414">
        <w:rPr>
          <w:rFonts w:ascii="PT Astra Serif" w:hAnsi="PT Astra Serif" w:cs="Times New Roman"/>
          <w:sz w:val="24"/>
          <w:szCs w:val="24"/>
        </w:rPr>
        <w:t>ействий или бездействий ГАБС и (или)</w:t>
      </w:r>
      <w:r>
        <w:rPr>
          <w:rFonts w:ascii="PT Astra Serif" w:hAnsi="PT Astra Serif" w:cs="Times New Roman"/>
          <w:sz w:val="24"/>
          <w:szCs w:val="24"/>
        </w:rPr>
        <w:t xml:space="preserve"> должностных лиц;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предъявленные к исполнению исполнительные документы;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сведения из Единой информационной системы  в сфере закупок.</w:t>
      </w:r>
    </w:p>
    <w:p w:rsidR="000A3CAD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Средняя балльная оценка по 1-й группе показателей по итогам за 2021 год составила 88,4 балла по 100-балльной шкале.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3 ГАБС или 37,5% от общего количества оцениваемых ГАБС имеют значения балльной оценки качества финансового менеджмента выше среднего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(по убыванию баллов: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>Управление социальной политики – 96,1 балла, Управление культуры– 95,6 балла,  Департамент финансов – 95,4 балла).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Остальные 5 ГАБС имеют значения балльной оценки качества финансового менеджмента ниже среднего (Управление образования – 88,1 балла, Департамент жилищно – коммунального и строительного комплекса – 85,5 балла, Департамент муниципальной собственности и градостроительства – 85,3 балла, Дума города Югорска -  84,5 балла, Администрация города Югорска – 76,7 балла). </w:t>
      </w:r>
      <w:r w:rsidR="00B11979">
        <w:rPr>
          <w:rFonts w:ascii="PT Astra Serif" w:hAnsi="PT Astra Serif" w:cs="Times New Roman"/>
          <w:sz w:val="24"/>
          <w:szCs w:val="24"/>
        </w:rPr>
        <w:t>Самая низкая оценка у Администрации города Югорска – 76,7 балла.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11979" w:rsidRDefault="00B1197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Рейтинг ГАБС по оценке качества управления расходами бюджета по итогам за 2021 год</w:t>
      </w:r>
    </w:p>
    <w:p w:rsidR="00B11979" w:rsidRDefault="00B1197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Default="00932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27226" cy="2920180"/>
            <wp:effectExtent l="0" t="0" r="26034" b="0"/>
            <wp:docPr id="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4631" w:rsidRDefault="00D74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качества планирования расходов бюджета осуществлялась по 33 показателям: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1) Показатель 1.1. «Соблюдение сроков представления в Департамент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показателя производилась на основании данных, представленных Департаментом экономического развития и проектного управления.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Думе города Югорска, Администрации города Югорска не оценивался, так как представление информации данными ГАБС не требуется.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 xml:space="preserve">Показатель по остальным ГАБС оценен на 100,0 баллов. Сроки предоставления в Департамент экономического развития и проектного управления информации, необходимой для разработки прогноза социально-экономического развития города, всеми ГАБС соблюдены.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2) Показатель 1.2. «Достоверность и полнота представленной в Департамент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показателя производилась на основании данных, представленных Департаментом экономического развития и проектного управления.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Думе города Югорска, Администрации города Югорска не оценивался, так как представление информации данными ГАБС не требуется.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остальным ГАБС оценен на 100,0 баллов. Информация, необходимая для разработки прогноза социально-экономического развития города, представлена в Департамент экономического развития и проектного управления всеми ГАБС в полном объеме, является достоверной и не возвращалась на доработку.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3) Показатель 1.3. «Наличие и качество муниципальных правовых актов ГРБС, регулирующих внутренние бюджетные процедуры».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характеризует наличие, своевременность разработки и соответствие требованиям бюджетного законодательства муниципальных правовых актов ГРБС, регулирующих все внутренние бюджетные процедуры. Качество финансового менеджмента напрямую зависит от качества подготовки муниципальных правовых актов, используемых в деятельности ГРБС для реализации соответствующих полномочий. Целевой показатель - </w:t>
      </w:r>
      <w:proofErr w:type="spellStart"/>
      <w:r>
        <w:rPr>
          <w:rFonts w:ascii="PT Astra Serif" w:hAnsi="PT Astra Serif" w:cs="Times New Roman"/>
          <w:sz w:val="24"/>
          <w:szCs w:val="24"/>
        </w:rPr>
        <w:t>урегулированность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всех внутренних бюджетных процедур, осуществляемых ГРБС.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59,0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 ГРБС получили оценку 100,0 баллов (Департамент финансов, Управление культуры, Управление социальной политики). 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Оценку 50,0 баллов получил Департамент жилищно – коммунального и строительного комплекса, так как нормативно – правовой акт, регулирующий подготовку бюджетных проектировок на очередной финансовый год и плановый период, не полностью соответствует требованиям бюджетного законодательства.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Оценку 30,0 баллов получили Дума города Югорска, Администрация города Югорска, Департамент муниципальной собственности и градостроительства, так как у данных ГАБС отсутствуют нормативно – правовые акты, регулирующие подготовку бюджетных проектировок на очередной финансовый год и плановый период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4"/>
          <w:szCs w:val="24"/>
        </w:rPr>
        <w:t>Управление образования также получило оценку 30,0 баллов, так как у ГРБС отсутствует нормативно – правовой акт, регулирующий 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4) Показатель 1.4. «Соблюдение сроков представления ГАБС в Департамент финансов документов и материалов, необходимых для составления проекта бюджета города, в соответствии с утвержденным Графиком 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 (далее – График)».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соблюдение ГАБС сроков представления в Департамент финансов документов и материалов, необходимых для составления проекта бюджета города в соответствии с Графиком, утвержденным постановлением администрации города Югорска от 02.10.2017 № 2360 «</w:t>
      </w:r>
      <w:r>
        <w:rPr>
          <w:rFonts w:ascii="PT Astra Serif" w:hAnsi="PT Astra Serif" w:cs="Times New Roman"/>
          <w:bCs/>
          <w:sz w:val="24"/>
          <w:szCs w:val="24"/>
        </w:rPr>
        <w:t xml:space="preserve">О порядке составления проекта </w:t>
      </w:r>
      <w:r>
        <w:rPr>
          <w:rFonts w:ascii="PT Astra Serif" w:hAnsi="PT Astra Serif" w:cs="Times New Roman"/>
          <w:sz w:val="24"/>
          <w:szCs w:val="24"/>
        </w:rPr>
        <w:t>решения о бюджете города Югорска на очередной финансовый год и плановый период».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оценка показателя по итогам за 2021 год составила 100,0 баллов,  так как  документы и материалы, необходимые для составления проекта бюджета на 2022 год и на плановый период 2023 и 2024 годов всеми ГАБС  были представлены в сроки</w:t>
      </w:r>
      <w:r w:rsidR="00E34011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установленные Графиком.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5) Показатель 1.5. «Качество представления ГАБС в Департамент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Значение данного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89,9 балла.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Значение оценки показателя 100,0 баллов присвоено Департаменту финансов, документы и материалы которого подготовлены качественно и не отправлены на доработку. Оценку выше среднего значения имеют 3 ГАБС (Дума города Югорска – 91,7 балла, Управление культуры – 91,7 балла, Управление социальной политики – 90,9 балла). Оценка показателя у остальных ГАБС ниже среднего значения (Администрация города Югорска – 88,9 балла, Управление образования – 84,6 балла, </w:t>
      </w:r>
      <w:r w:rsidR="00524C5A">
        <w:rPr>
          <w:rFonts w:ascii="PT Astra Serif" w:hAnsi="PT Astra Serif" w:cs="Times New Roman"/>
          <w:sz w:val="24"/>
          <w:szCs w:val="24"/>
        </w:rPr>
        <w:t xml:space="preserve">Департамент муниципальной собственности и градостроительства – 84,6 балла, </w:t>
      </w:r>
      <w:r>
        <w:rPr>
          <w:rFonts w:ascii="PT Astra Serif" w:hAnsi="PT Astra Serif" w:cs="Times New Roman"/>
          <w:sz w:val="24"/>
          <w:szCs w:val="24"/>
        </w:rPr>
        <w:t>Департамент жилищно – коммунального и строительного комплекса – 83,3 балла).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Наихудшее значение – у Департамента жилищно – коммунального и строительного комплекса – 83,3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6) Показатель 1.6. «Соблюдение сроков представления обоснований бюджетных ассигнований на очередной финансовый год и плановый период (далее - ОБАС) в Департамент финансов».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Показатель характеризует своевременность представления ОБАС в Департамент финансов в сроки, установленные постановлением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 и приказом заместителя главы города – директора департамента финансов администрации города Югорска от 05.07.2012 № 50п «Об утверждении Порядка планирования бюджетных ассигнований бюджета города Югорска  на очередной финансовый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год и плановый период».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Указанные сроки соблюдены всеми ГРБС.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A2ABE">
        <w:rPr>
          <w:rFonts w:ascii="PT Astra Serif" w:hAnsi="PT Astra Serif" w:cs="Times New Roman"/>
          <w:sz w:val="24"/>
          <w:szCs w:val="24"/>
        </w:rPr>
        <w:t>7</w:t>
      </w:r>
      <w:r>
        <w:rPr>
          <w:rFonts w:ascii="PT Astra Serif" w:hAnsi="PT Astra Serif" w:cs="Times New Roman"/>
          <w:sz w:val="24"/>
          <w:szCs w:val="24"/>
        </w:rPr>
        <w:t xml:space="preserve">) Показатель 1.7. «Полнота и соответствие утверждённым формам обоснований бюджетных ассигнований на очередной финансовый год и плановый период, представленных в Департамент финансов». 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Показатель характеризует соответствие/несоответствие утвержденным формам обоснований бюджетных ассигнований на 2022 год и на плановый период 2023 и 2024 годов, представленных в Департамент финансов, полноту обоснования ГРБС доведенных ему объемов бюджетных ассигнований при составлении проекта бюджета города на 2022 год и на плановый период 2023 и 2024 годов в увязке с показателями результативности.</w:t>
      </w:r>
      <w:proofErr w:type="gramEnd"/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По всем ГРБС форма ОБАС соответствует Порядку планирования бюджетных ассигнований бюджета города Югорска на очередной финансовый год и плановый период, утвержденному приказом</w:t>
      </w:r>
      <w:r w:rsidR="00E34011">
        <w:rPr>
          <w:rFonts w:ascii="PT Astra Serif" w:hAnsi="PT Astra Serif" w:cs="Times New Roman"/>
          <w:sz w:val="24"/>
          <w:szCs w:val="24"/>
        </w:rPr>
        <w:t xml:space="preserve"> директора</w:t>
      </w:r>
      <w:r>
        <w:rPr>
          <w:rFonts w:ascii="PT Astra Serif" w:hAnsi="PT Astra Serif" w:cs="Times New Roman"/>
          <w:sz w:val="24"/>
          <w:szCs w:val="24"/>
        </w:rPr>
        <w:t xml:space="preserve"> Департамента финансов администрации города Югорска от 02.05.2012 № 50п  и ГРБС в полном объеме обосновал доведенные ему объемы бюджетных ассигнований при составлении проекта бюджета города Югорска в увязке с показателями результативности, отсутствовали случаи отправки ОБАС на доработку.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данному показателю все ГРБС получили максимальную оценку 100,0 баллов. 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8) Показатель 1.8. «Соответствие данных обоснований бюджетных ассигнований на очередной финансовый год и плановый период доведённым Департаментом финансов предельным объёмам бюджетных ассигнований».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характеризует соответствие или несоответствие </w:t>
      </w:r>
      <w:proofErr w:type="gramStart"/>
      <w:r>
        <w:rPr>
          <w:rFonts w:ascii="PT Astra Serif" w:hAnsi="PT Astra Serif" w:cs="Times New Roman"/>
          <w:sz w:val="24"/>
          <w:szCs w:val="24"/>
        </w:rPr>
        <w:t>представленного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ГАБС ОБАС на 2022 год и на плановый период 2023 и 2024 годов предельным объемам бюджетных ассигнований, доведенным Департаментом финансов. 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всем ГРБС данные ОБАС соответствуют предельным объемам бюджетных ассигнований, доведенным Департаментам финансов. По данному показателю все ГРБС получили максимальную оценку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9) Показатель 1.9. «Качество планирования расходов: доля суммы изменений в сводную бюджетную роспись бюджета города за счет перераспределения ассигнований внутри ГАБС»».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характеризует качество планирования расходов. 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 расчете показателя учитывалась общая сумма ассигнований в уведомлениях об изменении ассигнований в отчетном периоде в случае увеличения бюджетных ассигнований за счет передвижки по разделам, подразделам, КЦСР, КВР, КОСГУ и дополнительным кодам расходов на основании обращений ГРБС, не связанных с изменением бюджетной классификации расходов и дополнительным выделением бюджетных ассигнований в связи с уточнением бюджета города, внесенных в сводную бюджетную роспись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и бюджетные росписи ГАБС в соответствии со статьей 217 Бюджетного кодекса Российской Федерации, </w:t>
      </w:r>
      <w:r>
        <w:rPr>
          <w:rFonts w:ascii="PT Astra Serif" w:hAnsi="PT Astra Serif" w:cs="Times New Roman"/>
          <w:bCs/>
          <w:sz w:val="24"/>
          <w:szCs w:val="24"/>
        </w:rPr>
        <w:t>Порядком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  <w:r>
        <w:rPr>
          <w:rFonts w:ascii="PT Astra Serif" w:hAnsi="PT Astra Serif" w:cs="Times New Roman"/>
          <w:sz w:val="24"/>
          <w:szCs w:val="24"/>
        </w:rPr>
        <w:t>, утвержденным приказом директора департамента финансов от 23.07.2021 № 33п, в общем объеме утвержденных бюджетных ассигнований по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ГАБС.</w:t>
      </w:r>
    </w:p>
    <w:p w:rsidR="00D74631" w:rsidRDefault="00FC26C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 расчете показателя</w:t>
      </w:r>
      <w:r w:rsidR="0093238E">
        <w:rPr>
          <w:rFonts w:ascii="PT Astra Serif" w:hAnsi="PT Astra Serif" w:cs="Times New Roman"/>
          <w:sz w:val="24"/>
          <w:szCs w:val="24"/>
        </w:rPr>
        <w:t xml:space="preserve"> справки с кодами вида изменений 021200, 022200 </w:t>
      </w:r>
      <w:r w:rsidR="004E6283">
        <w:rPr>
          <w:rFonts w:ascii="PT Astra Serif" w:hAnsi="PT Astra Serif" w:cs="Times New Roman"/>
          <w:sz w:val="24"/>
          <w:szCs w:val="24"/>
        </w:rPr>
        <w:t>по</w:t>
      </w:r>
      <w:r w:rsidR="0093238E">
        <w:rPr>
          <w:rFonts w:ascii="PT Astra Serif" w:hAnsi="PT Astra Serif" w:cs="Times New Roman"/>
          <w:sz w:val="24"/>
          <w:szCs w:val="24"/>
        </w:rPr>
        <w:t xml:space="preserve"> перераспределени</w:t>
      </w:r>
      <w:r w:rsidR="004E6283">
        <w:rPr>
          <w:rFonts w:ascii="PT Astra Serif" w:hAnsi="PT Astra Serif" w:cs="Times New Roman"/>
          <w:sz w:val="24"/>
          <w:szCs w:val="24"/>
        </w:rPr>
        <w:t>ю</w:t>
      </w:r>
      <w:r w:rsidR="0093238E">
        <w:rPr>
          <w:rFonts w:ascii="PT Astra Serif" w:hAnsi="PT Astra Serif" w:cs="Times New Roman"/>
          <w:sz w:val="24"/>
          <w:szCs w:val="24"/>
        </w:rPr>
        <w:t xml:space="preserve"> ассигнований внутри ГАБС на реализацию мероприятий, направленных на профилактику и устранение последствий распространения </w:t>
      </w:r>
      <w:proofErr w:type="spellStart"/>
      <w:r w:rsidR="0093238E">
        <w:rPr>
          <w:rFonts w:ascii="PT Astra Serif" w:hAnsi="PT Astra Serif" w:cs="Times New Roman"/>
          <w:sz w:val="24"/>
          <w:szCs w:val="24"/>
        </w:rPr>
        <w:t>коронавиру</w:t>
      </w:r>
      <w:r w:rsidR="002D41A4">
        <w:rPr>
          <w:rFonts w:ascii="PT Astra Serif" w:hAnsi="PT Astra Serif" w:cs="Times New Roman"/>
          <w:sz w:val="24"/>
          <w:szCs w:val="24"/>
        </w:rPr>
        <w:t>сной</w:t>
      </w:r>
      <w:proofErr w:type="spellEnd"/>
      <w:r w:rsidR="002D41A4">
        <w:rPr>
          <w:rFonts w:ascii="PT Astra Serif" w:hAnsi="PT Astra Serif" w:cs="Times New Roman"/>
          <w:sz w:val="24"/>
          <w:szCs w:val="24"/>
        </w:rPr>
        <w:t xml:space="preserve"> инфекции, не учитывались.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планировании ГРБС соответствующих расходов. Целевым ориентиром для ГРБС является минимальный объём вносимых изменений в сводную бюджетную роспись и бюджетную роспись ГРБС.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97,4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 всех оцениваемых ГРБС доля суммы ассигнований в уведомлениях об изменении ассигнований в отчетном периоде за счет перераспределения ассигнований внутри ГРБС в общем объеме бюджетных ассигнований данных ГРБС, согласно сводной бюджетной росписи бюджета города Югорска с учетом внесенных в нее изменений по состоянию на конец отчетного периода составила менее 10,0%.</w:t>
      </w:r>
    </w:p>
    <w:p w:rsidR="00D74631" w:rsidRDefault="00CC0CB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Наихудшее значение показателя у </w:t>
      </w:r>
      <w:r w:rsidR="0093238E">
        <w:rPr>
          <w:rFonts w:ascii="PT Astra Serif" w:hAnsi="PT Astra Serif" w:cs="Times New Roman"/>
          <w:sz w:val="24"/>
          <w:szCs w:val="24"/>
        </w:rPr>
        <w:t>Управлени</w:t>
      </w:r>
      <w:r>
        <w:rPr>
          <w:rFonts w:ascii="PT Astra Serif" w:hAnsi="PT Astra Serif" w:cs="Times New Roman"/>
          <w:sz w:val="24"/>
          <w:szCs w:val="24"/>
        </w:rPr>
        <w:t>я</w:t>
      </w:r>
      <w:r w:rsidR="0093238E">
        <w:rPr>
          <w:rFonts w:ascii="PT Astra Serif" w:hAnsi="PT Astra Serif" w:cs="Times New Roman"/>
          <w:sz w:val="24"/>
          <w:szCs w:val="24"/>
        </w:rPr>
        <w:t xml:space="preserve"> социальной политики – 96,1 балла. </w:t>
      </w:r>
      <w:proofErr w:type="gramStart"/>
      <w:r w:rsidR="0093238E" w:rsidRPr="00AA2ABE">
        <w:rPr>
          <w:rFonts w:ascii="PT Astra Serif" w:hAnsi="PT Astra Serif" w:cs="Times New Roman"/>
          <w:sz w:val="24"/>
          <w:szCs w:val="24"/>
        </w:rPr>
        <w:t xml:space="preserve">Низкая оценка показателя обусловлена увеличением ассигнований </w:t>
      </w:r>
      <w:r w:rsidR="00AA2ABE">
        <w:rPr>
          <w:rFonts w:ascii="PT Astra Serif" w:hAnsi="PT Astra Serif" w:cs="Times New Roman"/>
          <w:sz w:val="24"/>
          <w:szCs w:val="24"/>
        </w:rPr>
        <w:t xml:space="preserve">на организацию отдыха и оздоровления детей, проведение мероприятий по молодежной политике и временному трудоустройству граждан, субсидий подведомственным учреждениям на выполнение муниципальных заданий на оказание муниципальных услуг (выполнение работ), субсидий подведомственным муниципальным учреждениям на иные цели </w:t>
      </w:r>
      <w:r w:rsidR="0093238E" w:rsidRPr="00AA2ABE">
        <w:rPr>
          <w:rFonts w:ascii="PT Astra Serif" w:hAnsi="PT Astra Serif" w:cs="Times New Roman"/>
          <w:sz w:val="24"/>
          <w:szCs w:val="24"/>
        </w:rPr>
        <w:t>за счет перераспределения экономии по КВР и КОСГУ на основании обращения ГРБС.</w:t>
      </w:r>
      <w:proofErr w:type="gramEnd"/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10) Показатель 1.10. «Соблюдение сроков представления ГРБС фрагментов реестров расходных обязательств в Департамент финансов».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показателя по всем ГРБС составила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11) Показатели 1.11. «Определение объема финансового обеспечения выполнения муниципальных заданий на оказание муниципальными учреждениями муниципальных услуг на основе нормативных затрат»; 1.12. «Наличие результатов контроля ГАБС за выполнением муниципальным бюджетным и (или) автономным учреждением муниципального задания»; 1.13. «Изучение мнения населения о качестве оказания муниципальных услуг (выполнения работ) в соответствии с установленным порядком».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Данные показатели по Думе города Югорска, Департаменту финансов, Администрации города Югорска, Департаменту жилищно-коммунального и строительного комплекса, не выполняющих функции учредителей в отношении муниципальных учреждений, не оценивались.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Значение показателей по всем оцениваемым ГРБС составило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12) Показатель 1.14 «Качество планирования расходов на предоставление субсидий подведомственным ГАБС муниципальным учреждениям на финансовое обеспечение муниципального задания на оказание муниципальных услуг (выполнение работ)».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Данный показатель характеризует качество планирования расходов на предоставление субсидий подведомственным муниципальным учреждениям на финансовое обеспечение выполнения муниципального задания на оказание муниципальных услуг (выполнение работ). </w:t>
      </w:r>
    </w:p>
    <w:p w:rsidR="00D74631" w:rsidRDefault="0091685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 расчете показателя</w:t>
      </w:r>
      <w:r w:rsidR="0093238E">
        <w:rPr>
          <w:rFonts w:ascii="PT Astra Serif" w:hAnsi="PT Astra Serif" w:cs="Times New Roman"/>
          <w:sz w:val="24"/>
          <w:szCs w:val="24"/>
        </w:rPr>
        <w:t xml:space="preserve"> справки с кодом вида изменений  022200 </w:t>
      </w:r>
      <w:r w:rsidR="00F434A4">
        <w:rPr>
          <w:rFonts w:ascii="PT Astra Serif" w:hAnsi="PT Astra Serif" w:cs="Times New Roman"/>
          <w:sz w:val="24"/>
          <w:szCs w:val="24"/>
        </w:rPr>
        <w:t xml:space="preserve">по </w:t>
      </w:r>
      <w:r w:rsidR="0093238E">
        <w:rPr>
          <w:rFonts w:ascii="PT Astra Serif" w:hAnsi="PT Astra Serif" w:cs="Times New Roman"/>
          <w:sz w:val="24"/>
          <w:szCs w:val="24"/>
        </w:rPr>
        <w:t>перераспределени</w:t>
      </w:r>
      <w:r w:rsidR="00F434A4">
        <w:rPr>
          <w:rFonts w:ascii="PT Astra Serif" w:hAnsi="PT Astra Serif" w:cs="Times New Roman"/>
          <w:sz w:val="24"/>
          <w:szCs w:val="24"/>
        </w:rPr>
        <w:t>ю</w:t>
      </w:r>
      <w:r w:rsidR="0093238E">
        <w:rPr>
          <w:rFonts w:ascii="PT Astra Serif" w:hAnsi="PT Astra Serif" w:cs="Times New Roman"/>
          <w:sz w:val="24"/>
          <w:szCs w:val="24"/>
        </w:rPr>
        <w:t xml:space="preserve"> ассигнований</w:t>
      </w:r>
      <w:r w:rsidR="008E7EF6">
        <w:rPr>
          <w:rFonts w:ascii="PT Astra Serif" w:hAnsi="PT Astra Serif" w:cs="Times New Roman"/>
          <w:sz w:val="24"/>
          <w:szCs w:val="24"/>
        </w:rPr>
        <w:t xml:space="preserve"> на</w:t>
      </w:r>
      <w:r w:rsidR="0093238E">
        <w:rPr>
          <w:rFonts w:ascii="PT Astra Serif" w:hAnsi="PT Astra Serif" w:cs="Times New Roman"/>
          <w:sz w:val="24"/>
          <w:szCs w:val="24"/>
        </w:rPr>
        <w:t xml:space="preserve"> субсидии на финансовое обеспечение выполнения муниципального задания внутри ГАБС на реализацию мероприятий, направленных на профилактику и устранение последствий распространения </w:t>
      </w:r>
      <w:proofErr w:type="spellStart"/>
      <w:r w:rsidR="0093238E">
        <w:rPr>
          <w:rFonts w:ascii="PT Astra Serif" w:hAnsi="PT Astra Serif" w:cs="Times New Roman"/>
          <w:sz w:val="24"/>
          <w:szCs w:val="24"/>
        </w:rPr>
        <w:t>коронавирусной</w:t>
      </w:r>
      <w:proofErr w:type="spellEnd"/>
      <w:r w:rsidR="0093238E">
        <w:rPr>
          <w:rFonts w:ascii="PT Astra Serif" w:hAnsi="PT Astra Serif" w:cs="Times New Roman"/>
          <w:sz w:val="24"/>
          <w:szCs w:val="24"/>
        </w:rPr>
        <w:t xml:space="preserve"> инфекции, не учитывались.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Целевым ориентиром является минимальный объем вносимых изменений по субсидии на финансовое обеспечение  выполнения муниципального задания.  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Данный показатель по Думе города Югорска, Департаменту финансов, Администрации города Югорска, Департаменту жилищно-коммунального и строительного комплекса, не выполняющих функции учредителей в отношении муниципальных учреждений, не оценивался.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составила 98,1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Наихудшее значение показателя у Департамента муниципальной собственности </w:t>
      </w:r>
      <w:r w:rsidR="00CC0CB8">
        <w:rPr>
          <w:rFonts w:ascii="PT Astra Serif" w:hAnsi="PT Astra Serif" w:cs="Times New Roman"/>
          <w:sz w:val="24"/>
          <w:szCs w:val="24"/>
        </w:rPr>
        <w:t>и</w:t>
      </w:r>
      <w:r>
        <w:rPr>
          <w:rFonts w:ascii="PT Astra Serif" w:hAnsi="PT Astra Serif" w:cs="Times New Roman"/>
          <w:sz w:val="24"/>
          <w:szCs w:val="24"/>
        </w:rPr>
        <w:t xml:space="preserve"> градостроительства - 95,4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1.15 «Качество планирования расходов на предоставление субсидий подведомственным ГАБС муниципальным учреждениям на иные цели».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Данный показатель характеризует качество планирования расходов на предоставление субсидий подведомственным муниципальным учреждениям на иные цели. </w:t>
      </w:r>
    </w:p>
    <w:p w:rsidR="00D74631" w:rsidRDefault="006076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 расчете показателя</w:t>
      </w:r>
      <w:r w:rsidR="0093238E">
        <w:rPr>
          <w:rFonts w:ascii="PT Astra Serif" w:hAnsi="PT Astra Serif" w:cs="Times New Roman"/>
          <w:sz w:val="24"/>
          <w:szCs w:val="24"/>
        </w:rPr>
        <w:t xml:space="preserve"> справки с кодом вида изменений  022200 </w:t>
      </w:r>
      <w:r w:rsidR="00E3686E">
        <w:rPr>
          <w:rFonts w:ascii="PT Astra Serif" w:hAnsi="PT Astra Serif" w:cs="Times New Roman"/>
          <w:sz w:val="24"/>
          <w:szCs w:val="24"/>
        </w:rPr>
        <w:t xml:space="preserve">по </w:t>
      </w:r>
      <w:r w:rsidR="0093238E">
        <w:rPr>
          <w:rFonts w:ascii="PT Astra Serif" w:hAnsi="PT Astra Serif" w:cs="Times New Roman"/>
          <w:sz w:val="24"/>
          <w:szCs w:val="24"/>
        </w:rPr>
        <w:t>перераспределени</w:t>
      </w:r>
      <w:r w:rsidR="00E3686E">
        <w:rPr>
          <w:rFonts w:ascii="PT Astra Serif" w:hAnsi="PT Astra Serif" w:cs="Times New Roman"/>
          <w:sz w:val="24"/>
          <w:szCs w:val="24"/>
        </w:rPr>
        <w:t>ю</w:t>
      </w:r>
      <w:r w:rsidR="0093238E">
        <w:rPr>
          <w:rFonts w:ascii="PT Astra Serif" w:hAnsi="PT Astra Serif" w:cs="Times New Roman"/>
          <w:sz w:val="24"/>
          <w:szCs w:val="24"/>
        </w:rPr>
        <w:t xml:space="preserve"> ассигнований</w:t>
      </w:r>
      <w:r w:rsidR="00E3686E">
        <w:rPr>
          <w:rFonts w:ascii="PT Astra Serif" w:hAnsi="PT Astra Serif" w:cs="Times New Roman"/>
          <w:sz w:val="24"/>
          <w:szCs w:val="24"/>
        </w:rPr>
        <w:t xml:space="preserve"> </w:t>
      </w:r>
      <w:r w:rsidR="008E7EF6">
        <w:rPr>
          <w:rFonts w:ascii="PT Astra Serif" w:hAnsi="PT Astra Serif" w:cs="Times New Roman"/>
          <w:sz w:val="24"/>
          <w:szCs w:val="24"/>
        </w:rPr>
        <w:t>на</w:t>
      </w:r>
      <w:r w:rsidR="0093238E">
        <w:rPr>
          <w:rFonts w:ascii="PT Astra Serif" w:hAnsi="PT Astra Serif" w:cs="Times New Roman"/>
          <w:sz w:val="24"/>
          <w:szCs w:val="24"/>
        </w:rPr>
        <w:t xml:space="preserve"> субсиди</w:t>
      </w:r>
      <w:r w:rsidR="008E7EF6">
        <w:rPr>
          <w:rFonts w:ascii="PT Astra Serif" w:hAnsi="PT Astra Serif" w:cs="Times New Roman"/>
          <w:sz w:val="24"/>
          <w:szCs w:val="24"/>
        </w:rPr>
        <w:t>и</w:t>
      </w:r>
      <w:r w:rsidR="0093238E">
        <w:rPr>
          <w:rFonts w:ascii="PT Astra Serif" w:hAnsi="PT Astra Serif" w:cs="Times New Roman"/>
          <w:sz w:val="24"/>
          <w:szCs w:val="24"/>
        </w:rPr>
        <w:t xml:space="preserve"> на иные цели внутри ГАБС на реализацию мероприятий, направленных </w:t>
      </w:r>
      <w:r w:rsidR="0093238E">
        <w:rPr>
          <w:rFonts w:ascii="PT Astra Serif" w:hAnsi="PT Astra Serif" w:cs="Times New Roman"/>
          <w:sz w:val="24"/>
          <w:szCs w:val="24"/>
        </w:rPr>
        <w:lastRenderedPageBreak/>
        <w:t xml:space="preserve">на профилактику и устранение последствий распространения </w:t>
      </w:r>
      <w:proofErr w:type="spellStart"/>
      <w:r w:rsidR="0093238E">
        <w:rPr>
          <w:rFonts w:ascii="PT Astra Serif" w:hAnsi="PT Astra Serif" w:cs="Times New Roman"/>
          <w:sz w:val="24"/>
          <w:szCs w:val="24"/>
        </w:rPr>
        <w:t>коронавирусной</w:t>
      </w:r>
      <w:proofErr w:type="spellEnd"/>
      <w:r w:rsidR="0093238E">
        <w:rPr>
          <w:rFonts w:ascii="PT Astra Serif" w:hAnsi="PT Astra Serif" w:cs="Times New Roman"/>
          <w:sz w:val="24"/>
          <w:szCs w:val="24"/>
        </w:rPr>
        <w:t xml:space="preserve"> инфекции, не учитывались.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Целевым ориентиром является минимальный объем вносимых изменений по субсидиям на иные цели.  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Данный показатель по Думе города Югорска, Департаменту финансов, Администрации города Югорска, Департаменту жилищно-коммунального и строительного комплекса, не выполняющих функции учредителей в отношении муниципальных учреждений, не оценивался.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оценка по показателю составила 96,8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Наихудшее значение показателя у Управления образования – 93,6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13) Показатель 1.16. «Обеспечение открытости информации о ГРБС в отчетном году».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уровень открытости, прозрачности и подотчетности финансовой деятельности ГРБС.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 оценке показателя учитывалось наличие на официальном сайте органов местного самоуправления города Югорска в сети Интернет по состоянию на дату предоставления данных для мониторинга следующей информации: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1) актуальных редакций муниципальных программ города Югорска, ответственным исполнителем которых является ГАБС;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2) отчетов о ходе реализации муниципальных программ города Югорска, ответственным исполнителем которых является ГАБС;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3) отчетов о деятельности ГАБС за отчетный год;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4) результатов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контроля за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выполнением муниципальных заданий на предоставление муниципальных услуг юридическим и физическим лицам;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5) результатов изучения мнения населения о качестве оказания муниципальных услуг (выполнения работ);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6) результатов мониторинга выполнения подведомственными ГАБС муниципальными учреждениями муниципальных заданий на оказание муниципальных услуг (выполнение работ).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Думе города Югорска не являющейся ответственным исполнителем муниципальных программ города Югорска, и не выполняющей функции учредителей в отношении муниципальных учреждений, не оценивался.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Значение показателя по всем оцениваемым ГРБС составило 100,0 баллов (максимальное значение).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14) Показатель 1.17 «Доля исполненных бюджетных ассигнований».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характеризует исполнение бюджетных ассигнований на конец отчётного периода. 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по показателю по всем ГАБС составила 100,0% (максимальное значение).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15) Показатель 1.18 «Равномерность расходов».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равномерность кассовых расходов в течение отчётного периода.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 расчете показателя учитывался объем кассовых расходов в 4 квартале к среднему объему кассовых расходов за I-III кварталы отчетного финансового года. Целевым ориентиром для ГАБС являлось значение показателя менее 50,0%, учитывая, что оплата выполненных работ за декабрь отчетного периода производилась в декабре.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 ГРБС или 75,0% от оцениваемого количества удалось обеспечить достаточно равномерное исполнение расходов в течение отчётного финансового года, что позволило получить максимальную оценку по данному показателю –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Департамент жилищно-коммунального и строительного комплекса и Департамент муниципальной собственности и градостроительства набрали 0,0 баллов, так как расходы 4 квартала значительно превысили средний объём расходов, произведённых в I-III кварталах 2021 года, в результате чего им были присвоены наименьшие оценки по данному показателю.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73,3 балла.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16) Показатель 1.19 «</w:t>
      </w:r>
      <w:r w:rsidR="006D18D5" w:rsidRPr="006D18D5">
        <w:rPr>
          <w:rFonts w:ascii="PT Astra Serif" w:hAnsi="PT Astra Serif" w:cs="Times New Roman"/>
          <w:sz w:val="24"/>
          <w:szCs w:val="24"/>
        </w:rPr>
        <w:t>Соблюдение порядка составления и ведения кассового плана исполнения бюджета города</w:t>
      </w:r>
      <w:r>
        <w:rPr>
          <w:rFonts w:ascii="PT Astra Serif" w:hAnsi="PT Astra Serif" w:cs="Times New Roman"/>
          <w:sz w:val="24"/>
          <w:szCs w:val="24"/>
        </w:rPr>
        <w:t>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Максимальное значение оценки показателя 100,0 баллов набрали Департамент финансов, </w:t>
      </w:r>
      <w:r w:rsidR="0060764D">
        <w:rPr>
          <w:rFonts w:ascii="PT Astra Serif" w:hAnsi="PT Astra Serif" w:cs="Times New Roman"/>
          <w:sz w:val="24"/>
          <w:szCs w:val="24"/>
        </w:rPr>
        <w:t>Управление социальной политики</w:t>
      </w:r>
      <w:r>
        <w:rPr>
          <w:rFonts w:ascii="PT Astra Serif" w:hAnsi="PT Astra Serif" w:cs="Times New Roman"/>
          <w:sz w:val="24"/>
          <w:szCs w:val="24"/>
        </w:rPr>
        <w:t>, Департамент муниципальной собственности и градостроительства.</w:t>
      </w:r>
    </w:p>
    <w:p w:rsidR="00D74631" w:rsidRPr="006D18D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D18D5">
        <w:rPr>
          <w:rFonts w:ascii="PT Astra Serif" w:hAnsi="PT Astra Serif" w:cs="Times New Roman"/>
          <w:sz w:val="24"/>
          <w:szCs w:val="24"/>
        </w:rPr>
        <w:t xml:space="preserve">Дума города Югорска, Департамент жилищно – коммунального и строительного комплекса, Управление культуры </w:t>
      </w:r>
      <w:r w:rsidR="006D18D5" w:rsidRPr="006D18D5">
        <w:rPr>
          <w:rFonts w:ascii="PT Astra Serif" w:hAnsi="PT Astra Serif" w:cs="Times New Roman"/>
          <w:sz w:val="24"/>
          <w:szCs w:val="24"/>
        </w:rPr>
        <w:t xml:space="preserve">получили оценку </w:t>
      </w:r>
      <w:r w:rsidRPr="006D18D5">
        <w:rPr>
          <w:rFonts w:ascii="PT Astra Serif" w:hAnsi="PT Astra Serif" w:cs="Times New Roman"/>
          <w:sz w:val="24"/>
          <w:szCs w:val="24"/>
        </w:rPr>
        <w:t xml:space="preserve"> 80,0 баллов</w:t>
      </w:r>
      <w:r w:rsidR="006D18D5" w:rsidRPr="006D18D5">
        <w:rPr>
          <w:rFonts w:ascii="PT Astra Serif" w:hAnsi="PT Astra Serif" w:cs="Times New Roman"/>
          <w:sz w:val="24"/>
          <w:szCs w:val="24"/>
        </w:rPr>
        <w:t xml:space="preserve">, так как сроки предоставления </w:t>
      </w:r>
      <w:r w:rsidR="006D18D5" w:rsidRPr="006D18D5">
        <w:rPr>
          <w:rFonts w:ascii="PT Astra Serif" w:hAnsi="PT Astra Serif" w:cs="Times New Roman"/>
          <w:sz w:val="24"/>
          <w:szCs w:val="24"/>
        </w:rPr>
        <w:lastRenderedPageBreak/>
        <w:t xml:space="preserve">пояснительной записки о причинах отклонений </w:t>
      </w:r>
      <w:r w:rsidR="006D18D5" w:rsidRPr="006D18D5">
        <w:rPr>
          <w:rFonts w:ascii="PT Astra Serif" w:hAnsi="PT Astra Serif"/>
          <w:snapToGrid w:val="0"/>
          <w:sz w:val="24"/>
          <w:szCs w:val="24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6D18D5" w:rsidRPr="006D18D5">
        <w:rPr>
          <w:rFonts w:ascii="PT Astra Serif" w:hAnsi="PT Astra Serif"/>
          <w:sz w:val="24"/>
          <w:szCs w:val="24"/>
        </w:rPr>
        <w:t xml:space="preserve">города Югорска </w:t>
      </w:r>
      <w:r w:rsidR="006D18D5" w:rsidRPr="006D18D5">
        <w:rPr>
          <w:rFonts w:ascii="PT Astra Serif" w:hAnsi="PT Astra Serif"/>
          <w:snapToGrid w:val="0"/>
          <w:sz w:val="24"/>
          <w:szCs w:val="24"/>
        </w:rPr>
        <w:t>на величину более чем 15 процентов от указанного показателя</w:t>
      </w:r>
      <w:r w:rsidR="00037104">
        <w:rPr>
          <w:rFonts w:ascii="PT Astra Serif" w:hAnsi="PT Astra Serif"/>
          <w:snapToGrid w:val="0"/>
          <w:sz w:val="24"/>
          <w:szCs w:val="24"/>
        </w:rPr>
        <w:t xml:space="preserve"> были нарушены менее 5 раз</w:t>
      </w:r>
      <w:r w:rsidRPr="006D18D5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Администрация города Югорска, Управление образования набрали по 30,0 баллов</w:t>
      </w:r>
      <w:r w:rsidR="00037104">
        <w:rPr>
          <w:rFonts w:ascii="PT Astra Serif" w:hAnsi="PT Astra Serif" w:cs="Times New Roman"/>
          <w:sz w:val="24"/>
          <w:szCs w:val="24"/>
        </w:rPr>
        <w:t xml:space="preserve">, так как сроки  предоставления пояснительной записки </w:t>
      </w:r>
      <w:r w:rsidR="00037104" w:rsidRPr="006D18D5">
        <w:rPr>
          <w:rFonts w:ascii="PT Astra Serif" w:hAnsi="PT Astra Serif" w:cs="Times New Roman"/>
          <w:sz w:val="24"/>
          <w:szCs w:val="24"/>
        </w:rPr>
        <w:t xml:space="preserve">о причинах отклонений </w:t>
      </w:r>
      <w:r w:rsidR="00037104" w:rsidRPr="006D18D5">
        <w:rPr>
          <w:rFonts w:ascii="PT Astra Serif" w:hAnsi="PT Astra Serif"/>
          <w:snapToGrid w:val="0"/>
          <w:sz w:val="24"/>
          <w:szCs w:val="24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037104" w:rsidRPr="006D18D5">
        <w:rPr>
          <w:rFonts w:ascii="PT Astra Serif" w:hAnsi="PT Astra Serif"/>
          <w:sz w:val="24"/>
          <w:szCs w:val="24"/>
        </w:rPr>
        <w:t xml:space="preserve">города Югорска </w:t>
      </w:r>
      <w:r w:rsidR="00037104" w:rsidRPr="006D18D5">
        <w:rPr>
          <w:rFonts w:ascii="PT Astra Serif" w:hAnsi="PT Astra Serif"/>
          <w:snapToGrid w:val="0"/>
          <w:sz w:val="24"/>
          <w:szCs w:val="24"/>
        </w:rPr>
        <w:t>на величину более чем 15 процентов от указанного показателя</w:t>
      </w:r>
      <w:r w:rsidR="00037104">
        <w:rPr>
          <w:rFonts w:ascii="PT Astra Serif" w:hAnsi="PT Astra Serif"/>
          <w:snapToGrid w:val="0"/>
          <w:sz w:val="24"/>
          <w:szCs w:val="24"/>
        </w:rPr>
        <w:t xml:space="preserve"> были нарушены более 5 раз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73,3 балла.</w:t>
      </w:r>
    </w:p>
    <w:p w:rsidR="00D74631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17) Показатель 1.20 «Качество составления ГРБС прогнозов отдельных кассовых выплат по расходам».</w:t>
      </w:r>
    </w:p>
    <w:p w:rsidR="00D74631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Показатель характеризует качество составления ГРБС прогнозов отдельных кассовых выплат по расходам. Целевым ориентиром является отсутствие случаев отклонения отдельных кассовых выплат от показателей, указанных в прогнозах отдельных кассовых выплат по расходам, на величину более чем 15,0%.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всем оцениваемым ГАБС оценка составила 0,0 баллов (минимальное значение), так как случаи отклонения кассовых выплат от показателей, указанных в прогнозах отдельных кассовых выплат по расходам, на величину более чем 15,0% имелись более 2 раз.</w:t>
      </w:r>
    </w:p>
    <w:p w:rsidR="00D74631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Средняя балльная оценка по показателю составила 0,0 баллов.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18) Показатель 1.21 «Доля дебиторской задолженности по расходам в общем объёме расходов».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значительного объёма дебиторской задолженности по расходам. Целевым ориентиром является значение показателя, равное или менее 5,0%.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в</w:t>
      </w:r>
      <w:r w:rsidR="00761548">
        <w:rPr>
          <w:rFonts w:ascii="PT Astra Serif" w:hAnsi="PT Astra Serif" w:cs="Times New Roman"/>
          <w:sz w:val="24"/>
          <w:szCs w:val="24"/>
        </w:rPr>
        <w:t xml:space="preserve">сем ГАБС оценен на 100,0 баллов, так как доля дебиторской задолженности по расходам </w:t>
      </w:r>
      <w:proofErr w:type="gramStart"/>
      <w:r w:rsidR="00761548">
        <w:rPr>
          <w:rFonts w:ascii="PT Astra Serif" w:hAnsi="PT Astra Serif" w:cs="Times New Roman"/>
          <w:sz w:val="24"/>
          <w:szCs w:val="24"/>
        </w:rPr>
        <w:t>на конец</w:t>
      </w:r>
      <w:proofErr w:type="gramEnd"/>
      <w:r w:rsidR="00761548">
        <w:rPr>
          <w:rFonts w:ascii="PT Astra Serif" w:hAnsi="PT Astra Serif" w:cs="Times New Roman"/>
          <w:sz w:val="24"/>
          <w:szCs w:val="24"/>
        </w:rPr>
        <w:t xml:space="preserve"> 2021 года в общем объеме расходов за 2021 год составила менее 5%.</w:t>
      </w:r>
      <w:bookmarkStart w:id="1" w:name="_GoBack"/>
      <w:bookmarkEnd w:id="1"/>
      <w:r w:rsidR="00761548">
        <w:rPr>
          <w:rFonts w:ascii="PT Astra Serif" w:hAnsi="PT Astra Serif" w:cs="Times New Roman"/>
          <w:sz w:val="24"/>
          <w:szCs w:val="24"/>
        </w:rPr>
        <w:t xml:space="preserve"> 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19) Показатель 1.22 «Доля кредиторской задолженности по расходам в общем объёме расходов».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значительного объёма кредиторской задолженности по расходам. Целевым ориентиром является значение показателя, равное 0,0%.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Значение показателя 100,0 баллов составило по Департаменту финансов, </w:t>
      </w:r>
      <w:r w:rsidR="0060764D">
        <w:rPr>
          <w:rFonts w:ascii="PT Astra Serif" w:hAnsi="PT Astra Serif" w:cs="Times New Roman"/>
          <w:sz w:val="24"/>
          <w:szCs w:val="24"/>
        </w:rPr>
        <w:t xml:space="preserve">Департаменту </w:t>
      </w:r>
      <w:r w:rsidR="00416CDC">
        <w:rPr>
          <w:rFonts w:ascii="PT Astra Serif" w:hAnsi="PT Astra Serif" w:cs="Times New Roman"/>
          <w:sz w:val="24"/>
          <w:szCs w:val="24"/>
        </w:rPr>
        <w:t xml:space="preserve">жилищно-коммунального и строительного комплекса, </w:t>
      </w:r>
      <w:r>
        <w:rPr>
          <w:rFonts w:ascii="PT Astra Serif" w:hAnsi="PT Astra Serif" w:cs="Times New Roman"/>
          <w:sz w:val="24"/>
          <w:szCs w:val="24"/>
        </w:rPr>
        <w:t>Управлению образования, Управлению культуры, Управлению социальной политики. Доля их кредиторской задолженности в общем объеме расходов составляет 0,0%.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Значение оценки показателя 50,0 баллов получили Администраци</w:t>
      </w:r>
      <w:r w:rsidR="005579C4">
        <w:rPr>
          <w:rFonts w:ascii="PT Astra Serif" w:hAnsi="PT Astra Serif" w:cs="Times New Roman"/>
          <w:sz w:val="24"/>
          <w:szCs w:val="24"/>
        </w:rPr>
        <w:t>я</w:t>
      </w:r>
      <w:r>
        <w:rPr>
          <w:rFonts w:ascii="PT Astra Serif" w:hAnsi="PT Astra Serif" w:cs="Times New Roman"/>
          <w:sz w:val="24"/>
          <w:szCs w:val="24"/>
        </w:rPr>
        <w:t xml:space="preserve"> города Югорска, Департамент муниципальной собственности и градостроительства. Доля кредиторской задолженности в общем объеме расходов составляет от 0,02% до 0,5%.</w:t>
      </w:r>
    </w:p>
    <w:p w:rsidR="00D74631" w:rsidRDefault="0093238E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Значение  оценки показателя 30,0 баллов получила Дума города Югорска. Доля кредиторской задолженности в общем объеме расходов составила от 0,5% до 5,0%</w:t>
      </w:r>
      <w:r w:rsidR="005579C4">
        <w:rPr>
          <w:rFonts w:ascii="PT Astra Serif" w:hAnsi="PT Astra Serif" w:cs="Times New Roman"/>
          <w:sz w:val="24"/>
          <w:szCs w:val="24"/>
        </w:rPr>
        <w:t>.</w:t>
      </w:r>
    </w:p>
    <w:p w:rsidR="00D74631" w:rsidRDefault="0093238E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78,3 балла.</w:t>
      </w:r>
    </w:p>
    <w:p w:rsidR="00D74631" w:rsidRDefault="0093238E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20) Показатель 1.23 «Удельный вес муниципальных учреждений, выполнивших и перевыполнивших муниципальное задание в общем количестве муниципальных учреждений, которым доведены муниципальные задания».</w:t>
      </w:r>
    </w:p>
    <w:p w:rsidR="00D74631" w:rsidRDefault="0093238E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характеризует качество работы по осуществлению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контроля за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выполнением подведомственными учреждениями муниципальных заданий.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Целевым ориентиром является выполнение и перевыполнение всем</w:t>
      </w:r>
      <w:r w:rsidR="005579C4">
        <w:rPr>
          <w:rFonts w:ascii="PT Astra Serif" w:hAnsi="PT Astra Serif" w:cs="Times New Roman"/>
          <w:sz w:val="24"/>
          <w:szCs w:val="24"/>
        </w:rPr>
        <w:t>и</w:t>
      </w:r>
      <w:r>
        <w:rPr>
          <w:rFonts w:ascii="PT Astra Serif" w:hAnsi="PT Astra Serif" w:cs="Times New Roman"/>
          <w:sz w:val="24"/>
          <w:szCs w:val="24"/>
        </w:rPr>
        <w:t xml:space="preserve"> муниципальными учреждениями, которым доведены муниципальные задания.</w:t>
      </w:r>
    </w:p>
    <w:p w:rsidR="00D74631" w:rsidRDefault="0093238E" w:rsidP="00A321B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Данный показатель по Думе города Югорска, Департаменту финансов, Администрации города Югорска, Департаменту жилищно-коммунального и строительного комплекса, не выполняющих функции учредителей в отношении муниципальных учреждений, не оценивался.</w:t>
      </w:r>
    </w:p>
    <w:p w:rsidR="00D74631" w:rsidRDefault="0093238E" w:rsidP="00A321BF">
      <w:pPr>
        <w:pStyle w:val="af3"/>
        <w:spacing w:line="240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Оценка показателя по всем ГРБС составила 100,0 баллов</w:t>
      </w:r>
      <w:r w:rsidR="005579C4">
        <w:rPr>
          <w:rFonts w:ascii="PT Astra Serif" w:hAnsi="PT Astra Serif"/>
        </w:rPr>
        <w:t xml:space="preserve">, так как </w:t>
      </w:r>
      <w:r w:rsidR="00A321BF">
        <w:rPr>
          <w:rFonts w:ascii="PT Astra Serif" w:hAnsi="PT Astra Serif"/>
        </w:rPr>
        <w:t>п</w:t>
      </w:r>
      <w:r w:rsidR="00A321BF" w:rsidRPr="003832EF">
        <w:rPr>
          <w:rFonts w:ascii="PT Astra Serif" w:hAnsi="PT Astra Serif"/>
        </w:rPr>
        <w:t xml:space="preserve">о результатам оценки эффективности и результативности выполнения муниципальных заданий муниципальными бюджетными и автономными учреждениями, проведенной главными распорядителями средств бюджета города Югорска, интерпретацию оценки «Муниципальное задание выполнено в полном объеме» получили </w:t>
      </w:r>
      <w:r w:rsidR="00A321BF">
        <w:rPr>
          <w:rFonts w:ascii="PT Astra Serif" w:hAnsi="PT Astra Serif"/>
        </w:rPr>
        <w:t>все</w:t>
      </w:r>
      <w:r w:rsidR="00A321BF" w:rsidRPr="003832EF">
        <w:rPr>
          <w:rFonts w:ascii="PT Astra Serif" w:hAnsi="PT Astra Serif"/>
        </w:rPr>
        <w:t xml:space="preserve"> бюджетны</w:t>
      </w:r>
      <w:r w:rsidR="00A321BF">
        <w:rPr>
          <w:rFonts w:ascii="PT Astra Serif" w:hAnsi="PT Astra Serif"/>
        </w:rPr>
        <w:t>е</w:t>
      </w:r>
      <w:r w:rsidR="00A321BF" w:rsidRPr="003832EF">
        <w:rPr>
          <w:rFonts w:ascii="PT Astra Serif" w:hAnsi="PT Astra Serif"/>
        </w:rPr>
        <w:t xml:space="preserve"> и автономны</w:t>
      </w:r>
      <w:r w:rsidR="00A321BF">
        <w:rPr>
          <w:rFonts w:ascii="PT Astra Serif" w:hAnsi="PT Astra Serif"/>
        </w:rPr>
        <w:t>е</w:t>
      </w:r>
      <w:r w:rsidR="00A321BF" w:rsidRPr="003832EF">
        <w:rPr>
          <w:rFonts w:ascii="PT Astra Serif" w:hAnsi="PT Astra Serif"/>
        </w:rPr>
        <w:t xml:space="preserve"> учреждени</w:t>
      </w:r>
      <w:r w:rsidR="00A321BF">
        <w:rPr>
          <w:rFonts w:ascii="PT Astra Serif" w:hAnsi="PT Astra Serif"/>
        </w:rPr>
        <w:t>я</w:t>
      </w:r>
      <w:r w:rsidR="00A321BF" w:rsidRPr="003832EF">
        <w:rPr>
          <w:rFonts w:ascii="PT Astra Serif" w:hAnsi="PT Astra Serif"/>
        </w:rPr>
        <w:t xml:space="preserve">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21) Показатель 1.24 «Динамика объема доходов муниципальных бюджетных и автономных учреждений, подведомственных ГАБС, от приносящей доход деятельности».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Думе города Югорска, Администрации города Югорска, Департаменту финансов, Департаменту жилищно-коммунального и строительного комплекса не оценивался, так как данные ГРБС не имеют подведомственных муниципальных бюджетных и автономных учреждений.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100,0 баллов, так как доля доходов подведомственных учреждений по всем ГРБС от приносящей доход деятельности в общей структуре доходов более 10,0%.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22) Показатель 1.25 «Нарушение сроков доведения бюджетных ассигнований и (или) лимитов бюджетных обязательств до получателей средств бюджета».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нарушений сроков доведения бюджетных ассигнований и (или) лимитов бюджетных обязательств до получателей средств бюджета.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показателя производится на основании реестров, подтверждающих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Показатель оценивался только по Администрации города Югорска и Управлению образования, так как остальные ГАБС не имеют подведомственных получателей бюджетных средств.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Оценка показателя по двум оцениваемым ГАБС составила 0,0 баллов, так как у обоих ГАБС имелись нарушения сроков доведения бюджетных ассигнований и (или) лимитов бюджетных обязательств до получателей средств бюджета.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Средняя оценка по показателю составила 0,0 балов.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23) Показатель 1.26 «Наличие предъявленных к оплате за счет средств местного бюджета судебных актов о возмещении ущерба в результате незаконных действий или бездействий ГАБС и (или) его должностных лиц».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Показатель характеризует качество выполняемых функций ГАБС и наличие/отсутствие судебных актов, предъявленных к оплате за счёт средств местного бюджета, о возмещении ущерба в результате незаконных действий или бездействий ГАБС и (или) его должностных лиц.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6 ГАБС оценен на 100,0 баллов, так как у ГАБС отсутствуют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По двум ГАБС (Администрация города Югорска и Департамент муниципальной собственности и градостроительства) оценка составила 0,0 баллов, так как у данных ГРБС на конец отчетного периода имелись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  <w:proofErr w:type="gramEnd"/>
    </w:p>
    <w:p w:rsidR="005B11D0" w:rsidRDefault="005B11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оценка по показателю составила 80,0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24) Показатель 1.27 «Доля исполненных ГАБС исполнительных документов в общем объёме предъявленных к взысканию исполнительных документов».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по Думе города Югорска, Департаменту финансов, Департаменту жилищно – коммунального и строительного комплекса, Управлению образования, Управлению культуры, Управлению социальной политики не оценивались в связи с отсутствием предъявленных к взысканию исполнительных документов.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По Администрации города Югорска и Департаменту муниципальной собственности и градостроительства  оценка составила 100,0 баллов, так как у данных ГРБС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 были оплачены в полном объеме.</w:t>
      </w:r>
      <w:proofErr w:type="gramEnd"/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оценка по показателю составила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25) Показатель 1.28 «Соблюдение сроков утверждения заказчиками планов – графиков закупок в Единой информационной системе в сфере закупок».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Показатель оценивается на основании </w:t>
      </w:r>
      <w:proofErr w:type="gramStart"/>
      <w:r>
        <w:rPr>
          <w:rFonts w:ascii="PT Astra Serif" w:hAnsi="PT Astra Serif" w:cs="Times New Roman"/>
          <w:sz w:val="24"/>
          <w:szCs w:val="24"/>
        </w:rPr>
        <w:t>сведений, предоставленных ГАБС и характеризует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своевременность утверждения планов – графиков в Единой информационной системе.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Оценку 100,0 баллов получили 6 ГАБС, так как сроки утверждения заказчиками планов – графиков закупок в Единой информационной системе в сфере закупок были соблюдены.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Департамент жилищно – коммунального и строительного комплекса получил оценку 75,0 баллов, Департамент муниципальной собственности и градостроительства  - 72,0 балла, так как имели место случаи нарушения сроков утверждения заказчиками планов – графиков закупок в Единой информационной системе в сфере закупок.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оценка по показателю составила 93,0 балла.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26) Показатель 1.29 «Соблюдение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своевременность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Целевым ориентиром является 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Средняя оценка по показателю составила 91,7 балла.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Управлению социальной политики и Управлению культуры не оценивал</w:t>
      </w:r>
      <w:r w:rsidR="008733E1">
        <w:rPr>
          <w:rFonts w:ascii="PT Astra Serif" w:hAnsi="PT Astra Serif" w:cs="Times New Roman"/>
          <w:sz w:val="24"/>
          <w:szCs w:val="24"/>
        </w:rPr>
        <w:t xml:space="preserve">ся </w:t>
      </w:r>
      <w:r>
        <w:rPr>
          <w:rFonts w:ascii="PT Astra Serif" w:hAnsi="PT Astra Serif" w:cs="Times New Roman"/>
          <w:sz w:val="24"/>
          <w:szCs w:val="24"/>
        </w:rPr>
        <w:t>в связи с тем, что данными ГАБС не проводились закупки малого объема (до шестисот тысяч рублей).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Два ГАБС (Департамент финансов, Департамент муниципальной собственности и градостроительства) получили оценку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Выше среднего значения (96,0 баллов) оценку получил Департамент жилищно – коммунального и строительного комплекса.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Оценки ниже среднего значения получили Администрация города Югорска – 91,0 балл, Управление образования – 85,0 баллов, Дума города Югорска – 78,0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27) Показатель 1.30 «Наличие просроченной дебиторской задолженности по расходам».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просроченной дебиторской задолженности по расходам.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 ГАБС получили оценку 100,0 баллов, так как дебиторская задолженность на конец отчетного периода отсутствует.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28) Показатель 1.31 «Наличие просроченной кредиторской задолженности по расходам».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просроченной кредиторской задолженности по расходам.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 ГАБС получили оценку 100,0 баллов, так как кредиторская задолженность на конец отчетного периода отсутствует.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29) Показатель 1.32 «Эффективность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иные цели».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просроченной кредиторской задолженности по расходам у муниципальных автономных, бюджетных учреждений.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Целевым значением является отсутствие просроченной кредиторской задолженности по расходам у муниципальных автономных, бюджетных учреждений. 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Данные показатели по Думе города Югорска, Департаменту финансов, Администрации города Югорска, Департаменту жилищно-коммунального и строительного комплекса, не выполняющих функции учредителей в отношении муниципальных учреждений, не оценивались.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Значение показателей по всем оцениваемым ГРБС составило 100,0 баллов, так как просроченная кредиторская задолженность по расходам у муниципальных автономных, бюджетных учреждений на конец отчетного периода отсутствовала.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30) Показатель 1.33 «Эффективность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иные цели».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просроченной дебиторской задолженности по расходам у муниципальных автономных, бюджетных учреждений.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Целевым значением является отсутствие просроченной дебиторской задолженности по расходам у муниципальных автономных, бюджетных учреждений. 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Данные показатели по Думе города Югорска, Департаменту финансов, Администрации города Югорска, Департаменту жилищно-коммунального и строительного комплекса, не выполняющих функции учредителей в отношении муниципальных учреждений, не оценивались.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Значение показателей по всем оцениваемым ГРБС составило 100,0 баллов, так как просроченная дебиторская задолженность по расходам у муниципальных автономных, бюджетных учреждений на конец отчетного периода отсутствовала. 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2. Оценка качества управления доходами и источниками финансирования дефицита бюджета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Для расчёта показателей Мониторинга в части </w:t>
      </w:r>
      <w:r>
        <w:rPr>
          <w:rFonts w:ascii="PT Astra Serif" w:hAnsi="PT Astra Serif" w:cs="Times New Roman"/>
          <w:bCs/>
          <w:sz w:val="24"/>
          <w:szCs w:val="24"/>
        </w:rPr>
        <w:t>оценки качества управления доходами и источниками финансирования дефицита бюджета были использованы: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 xml:space="preserve">- данные из формы по ОКУД 0503169 </w:t>
      </w:r>
      <w:r w:rsidR="006225EE">
        <w:rPr>
          <w:rFonts w:ascii="PT Astra Serif" w:hAnsi="PT Astra Serif" w:cs="Times New Roman"/>
          <w:bCs/>
          <w:sz w:val="24"/>
          <w:szCs w:val="24"/>
        </w:rPr>
        <w:t>«</w:t>
      </w:r>
      <w:r>
        <w:rPr>
          <w:rFonts w:ascii="PT Astra Serif" w:hAnsi="PT Astra Serif" w:cs="Times New Roman"/>
          <w:bCs/>
          <w:sz w:val="24"/>
          <w:szCs w:val="24"/>
        </w:rPr>
        <w:t>Сведения по дебиторской и кредиторской задолженности по расходам</w:t>
      </w:r>
      <w:r w:rsidR="006225EE">
        <w:rPr>
          <w:rFonts w:ascii="PT Astra Serif" w:hAnsi="PT Astra Serif" w:cs="Times New Roman"/>
          <w:bCs/>
          <w:sz w:val="24"/>
          <w:szCs w:val="24"/>
        </w:rPr>
        <w:t>»</w:t>
      </w:r>
      <w:r>
        <w:rPr>
          <w:rFonts w:ascii="PT Astra Serif" w:hAnsi="PT Astra Serif" w:cs="Times New Roman"/>
          <w:bCs/>
          <w:sz w:val="24"/>
          <w:szCs w:val="24"/>
        </w:rPr>
        <w:t xml:space="preserve"> за 2021 год;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постановление администрации города Югорска от 02.10.2017 № 2360 </w:t>
      </w:r>
      <w:r w:rsidR="006225EE">
        <w:rPr>
          <w:rFonts w:ascii="PT Astra Serif" w:hAnsi="PT Astra Serif" w:cs="Times New Roman"/>
          <w:sz w:val="24"/>
          <w:szCs w:val="24"/>
        </w:rPr>
        <w:t>«</w:t>
      </w:r>
      <w:r>
        <w:rPr>
          <w:rFonts w:ascii="PT Astra Serif" w:hAnsi="PT Astra Serif" w:cs="Times New Roman"/>
          <w:sz w:val="24"/>
          <w:szCs w:val="24"/>
        </w:rPr>
        <w:t>О порядке составления проекта решения о бюджете города Югорска на очередной финансовый год и плановый период</w:t>
      </w:r>
      <w:r w:rsidR="006225EE">
        <w:rPr>
          <w:rFonts w:ascii="PT Astra Serif" w:hAnsi="PT Astra Serif" w:cs="Times New Roman"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сопроводительные письма ГАБС о направлении в департамент финансов документов и материалов,  необходимых для составления проекта бюджета города, а так же иной информации, документов и материалов;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6225EE">
        <w:rPr>
          <w:rFonts w:ascii="PT Astra Serif" w:hAnsi="PT Astra Serif" w:cs="Times New Roman"/>
          <w:sz w:val="24"/>
          <w:szCs w:val="24"/>
        </w:rPr>
        <w:t>факты доработки, исправления ошибок в документах и материалах, необходимых для составления бюджета города;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shd w:val="clear" w:color="auto" w:fill="FFFFFF"/>
        </w:rPr>
        <w:t xml:space="preserve">- постановления Правительства Российской Федерации от 23.06.2016 № 574 </w:t>
      </w:r>
      <w:r>
        <w:rPr>
          <w:rFonts w:ascii="PT Astra Serif" w:hAnsi="PT Astra Serif"/>
          <w:sz w:val="24"/>
          <w:szCs w:val="24"/>
        </w:rPr>
        <w:t xml:space="preserve"> «</w:t>
      </w:r>
      <w:r>
        <w:rPr>
          <w:rFonts w:ascii="PT Astra Serif" w:hAnsi="PT Astra Serif"/>
          <w:sz w:val="24"/>
          <w:szCs w:val="24"/>
          <w:shd w:val="clear" w:color="auto" w:fill="FFFFFF"/>
        </w:rPr>
        <w:t xml:space="preserve">Об общих требованиях к методике прогнозирования поступлений доходов в бюджеты бюджетной системы Российской Федерации» и от 26.05.2016 № 469 </w:t>
      </w:r>
      <w:r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  <w:shd w:val="clear" w:color="auto" w:fill="FFFFFF"/>
        </w:rPr>
        <w:t>Об общих требованиях к методике прогнозирования поступлений по источникам ф</w:t>
      </w:r>
      <w:r w:rsidR="00155F1D">
        <w:rPr>
          <w:rFonts w:ascii="PT Astra Serif" w:hAnsi="PT Astra Serif"/>
          <w:sz w:val="24"/>
          <w:szCs w:val="24"/>
          <w:shd w:val="clear" w:color="auto" w:fill="FFFFFF"/>
        </w:rPr>
        <w:t>инансирования дефицита бюджета»;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правовые акты ГРБС;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- данные автоматизированной системы «Бюджет» о плановых назначениях и о фактических поступлениях доходов в бюджет города Югорска за 2021 год, о суммах невыясненных поступлений у ГАБС  по состоянию на 28.12.2021 (последний день 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в отчетном финансовом году);</w:t>
      </w:r>
      <w:proofErr w:type="gramEnd"/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приказ </w:t>
      </w:r>
      <w:r w:rsidR="006225EE">
        <w:rPr>
          <w:rFonts w:ascii="PT Astra Serif" w:hAnsi="PT Astra Serif" w:cs="Times New Roman"/>
          <w:sz w:val="24"/>
          <w:szCs w:val="24"/>
        </w:rPr>
        <w:t xml:space="preserve">заместителя главы города - </w:t>
      </w:r>
      <w:r>
        <w:rPr>
          <w:rFonts w:ascii="PT Astra Serif" w:hAnsi="PT Astra Serif" w:cs="Times New Roman"/>
          <w:sz w:val="24"/>
          <w:szCs w:val="24"/>
        </w:rPr>
        <w:t xml:space="preserve">директора департамента финансов администрации города Югорска от 18.03.2008 № 7 «О порядке составления и ведения кассового плана исполнения бюджета города в текущем финансовом году»;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письмо Департамента финансов Ханты-Мансийского автономного округа - Югры от 14.12.2021 № 20-Исх-4547 «О совершении операций в конце 2021 года».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2-й группе показателей з</w:t>
      </w:r>
      <w:r w:rsidR="003E20A9">
        <w:rPr>
          <w:rFonts w:ascii="PT Astra Serif" w:hAnsi="PT Astra Serif" w:cs="Times New Roman"/>
          <w:sz w:val="24"/>
          <w:szCs w:val="24"/>
        </w:rPr>
        <w:t>а 2021 год составила 93,7 балла</w:t>
      </w:r>
      <w:r>
        <w:rPr>
          <w:rFonts w:ascii="PT Astra Serif" w:hAnsi="PT Astra Serif" w:cs="Times New Roman"/>
          <w:sz w:val="24"/>
          <w:szCs w:val="24"/>
        </w:rPr>
        <w:t xml:space="preserve"> по 100,0-балльной шкале.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4 ГАБС или 66,7 % от общего количества оцениваемых ГАБС имеют значения балльной оценки качества финансового менеджмента выше среднего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(по убыванию баллов: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Дума города Югорска, Департамент финансов, Департамент жилищно-коммунального и строительного комплекса  имеют по 100 баллов, Департамент муниципальной собственности и градостроительства 95,7 баллов).  </w:t>
      </w:r>
      <w:proofErr w:type="gramEnd"/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Остальные 2 ГАБС имеют значения балльной оценки качества финансового мене</w:t>
      </w:r>
      <w:r w:rsidR="003E20A9">
        <w:rPr>
          <w:rFonts w:ascii="PT Astra Serif" w:hAnsi="PT Astra Serif" w:cs="Times New Roman"/>
          <w:sz w:val="24"/>
          <w:szCs w:val="24"/>
        </w:rPr>
        <w:t>джмента  ниже среднего, из них Администрация города и У</w:t>
      </w:r>
      <w:r>
        <w:rPr>
          <w:rFonts w:ascii="PT Astra Serif" w:hAnsi="PT Astra Serif" w:cs="Times New Roman"/>
          <w:sz w:val="24"/>
          <w:szCs w:val="24"/>
        </w:rPr>
        <w:t>правление образования по 83,3 балла.</w:t>
      </w:r>
    </w:p>
    <w:p w:rsidR="005B11D0" w:rsidRDefault="005B11D0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Показатели по Управлению социальной политики и Управлению культуры не оценивались, так как данные ГАБС не являются администраторами доходов бюджета города Югорска.</w:t>
      </w:r>
    </w:p>
    <w:p w:rsidR="00D74631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highlight w:val="yellow"/>
        </w:rPr>
      </w:pPr>
    </w:p>
    <w:p w:rsidR="00507175" w:rsidRDefault="005071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07175" w:rsidRDefault="005071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07175" w:rsidRDefault="005071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07175" w:rsidRDefault="0050717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lastRenderedPageBreak/>
        <w:t xml:space="preserve">Рейтинг ГАБС по оценке </w:t>
      </w:r>
      <w:r w:rsidR="0048235F">
        <w:rPr>
          <w:rFonts w:ascii="PT Astra Serif" w:hAnsi="PT Astra Serif" w:cs="Times New Roman"/>
          <w:b/>
          <w:sz w:val="24"/>
          <w:szCs w:val="24"/>
        </w:rPr>
        <w:t>качества управления доходами и источниками финансирования дефицита бюджета</w:t>
      </w:r>
      <w:r>
        <w:rPr>
          <w:rFonts w:ascii="PT Astra Serif" w:hAnsi="PT Astra Serif" w:cs="Times New Roman"/>
          <w:b/>
          <w:sz w:val="24"/>
          <w:szCs w:val="24"/>
        </w:rPr>
        <w:t xml:space="preserve"> по итогам</w:t>
      </w:r>
      <w:r w:rsidR="0048235F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за 2021 год</w:t>
      </w:r>
    </w:p>
    <w:p w:rsidR="00D74631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  <w:highlight w:val="yellow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6480810" cy="2898994"/>
            <wp:effectExtent l="0" t="0" r="15240" b="0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результатов исполнения бюджета проведена по семи показателям: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1) Показатель 2.1. «Снижение уровня просроченной дебиторской задолженности по доходам бюджета города».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снижения уровня просроченной дебиторской задолженности по доходам бюджета, администрируемым ГАБС. Целевой ориентир - значение показателя, равное 0.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связи с отсутствием просроченной дебиторской задолженности </w:t>
      </w:r>
      <w:proofErr w:type="gramStart"/>
      <w:r>
        <w:rPr>
          <w:rFonts w:ascii="PT Astra Serif" w:hAnsi="PT Astra Serif" w:cs="Times New Roman"/>
          <w:sz w:val="24"/>
          <w:szCs w:val="24"/>
        </w:rPr>
        <w:t>на</w:t>
      </w:r>
      <w:r w:rsidR="0079267A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конец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2020 и 2021 года показатель по 5 ГАБС не оценивался (Дума города Югорска, Администрация города Югорска, Департамент</w:t>
      </w:r>
      <w:r w:rsidR="00B23511">
        <w:rPr>
          <w:rFonts w:ascii="PT Astra Serif" w:hAnsi="PT Astra Serif" w:cs="Times New Roman"/>
          <w:sz w:val="24"/>
          <w:szCs w:val="24"/>
        </w:rPr>
        <w:t xml:space="preserve"> финансов, Департамент жилищно–</w:t>
      </w:r>
      <w:r>
        <w:rPr>
          <w:rFonts w:ascii="PT Astra Serif" w:hAnsi="PT Astra Serif" w:cs="Times New Roman"/>
          <w:sz w:val="24"/>
          <w:szCs w:val="24"/>
        </w:rPr>
        <w:t>коммунального и строительного комплекса и Управление образования).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Департамент муниципальной собственности и градостроительства получил 100,0 баллов, в связи со снижением на 8,2% просроченной дебиторской задолженности по состоянию на 31.12.2021 к уровню 2020 года.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2) Показатель 2.2. «Соблюдение сроков представления ГАБС в департамент финансов документов и материалов, необходимых для составления проекта бюджета города</w:t>
      </w:r>
      <w:r w:rsidR="0079267A">
        <w:rPr>
          <w:rFonts w:ascii="PT Astra Serif" w:hAnsi="PT Astra Serif" w:cs="Times New Roman"/>
          <w:sz w:val="24"/>
          <w:szCs w:val="24"/>
        </w:rPr>
        <w:t xml:space="preserve"> Югорска</w:t>
      </w:r>
      <w:r>
        <w:rPr>
          <w:rFonts w:ascii="PT Astra Serif" w:hAnsi="PT Astra Serif" w:cs="Times New Roman"/>
          <w:sz w:val="24"/>
          <w:szCs w:val="24"/>
        </w:rPr>
        <w:t>, в соответствии с утвержденным Графиком».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своевременность представления в департамент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>
        <w:rPr>
          <w:rFonts w:ascii="PT Astra Serif" w:hAnsi="PT Astra Serif" w:cs="Times New Roman"/>
          <w:bCs/>
          <w:sz w:val="24"/>
          <w:szCs w:val="24"/>
        </w:rPr>
        <w:t xml:space="preserve">О порядке составления проекта </w:t>
      </w:r>
      <w:r>
        <w:rPr>
          <w:rFonts w:ascii="PT Astra Serif" w:hAnsi="PT Astra Serif" w:cs="Times New Roman"/>
          <w:sz w:val="24"/>
          <w:szCs w:val="24"/>
        </w:rPr>
        <w:t xml:space="preserve">решения о бюджете города Югорска на очередной финансовый год и плановый период».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всем ГАБС оценен на 100,0 баллов. Сроки предоставления в Департамент финансов документов и материалов, необходимых для составления проекта бюджета города на 2022 год и на плановый период 2023 и 2024 годов соблюдены всеми ГАБС.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3) Показатель 2.3. «Качество представления ГАБС в департамент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50717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качество представленных в департамент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>
        <w:rPr>
          <w:rFonts w:ascii="PT Astra Serif" w:hAnsi="PT Astra Serif" w:cs="Times New Roman"/>
          <w:bCs/>
          <w:sz w:val="24"/>
          <w:szCs w:val="24"/>
        </w:rPr>
        <w:t xml:space="preserve">О порядке составления проекта </w:t>
      </w:r>
      <w:r>
        <w:rPr>
          <w:rFonts w:ascii="PT Astra Serif" w:hAnsi="PT Astra Serif" w:cs="Times New Roman"/>
          <w:sz w:val="24"/>
          <w:szCs w:val="24"/>
        </w:rPr>
        <w:t xml:space="preserve">решения о бюджете города Югорска на очередной финансовый год и плановый период». 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Значение данного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Показатель по всем ГАБС оценен на 100,0 баллов. Фактов наличия не достоверной информации в представленных документах и материалах, а так же отправленных документов на доработку отсутствуют.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4) Показатель 2.4. «Качество правовой базы ГАБС».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наличие, своевременность разработки и соответствие требованиям бюджетного законодательства муниципальных правовых актов ГАБС, регулирующих единый подход к прогнозированию поступлений доходов и источников финансирования дефицита бюджета. Качество финансового менеджмента напрямую зависит от качества подготовки муниципальных правовых актов, используемых в деятельности ГАБС для реализации соответствующих полномочий. Целевой ориентир - значение показателя, равное 100%.</w:t>
      </w:r>
    </w:p>
    <w:p w:rsidR="00D74631" w:rsidRDefault="0093238E">
      <w:pPr>
        <w:pStyle w:val="a3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по всем ГАБС оценен на 100,0 баллов.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Фактов отсутствия правовых актов ГАБС, утверждающих </w:t>
      </w:r>
      <w:r>
        <w:rPr>
          <w:rFonts w:ascii="PT Astra Serif" w:hAnsi="PT Astra Serif"/>
          <w:sz w:val="24"/>
          <w:szCs w:val="24"/>
          <w:shd w:val="clear" w:color="auto" w:fill="FFFFFF"/>
        </w:rPr>
        <w:t>методики прогнозирования поступлений доходов в бюджет города Югорска по администрируемым доходным источникам</w:t>
      </w:r>
      <w:r>
        <w:rPr>
          <w:rFonts w:ascii="PT Astra Serif" w:hAnsi="PT Astra Serif" w:cs="Times New Roman"/>
          <w:sz w:val="24"/>
          <w:szCs w:val="24"/>
        </w:rPr>
        <w:t xml:space="preserve"> и методики</w:t>
      </w:r>
      <w:r>
        <w:rPr>
          <w:rFonts w:ascii="PT Astra Serif" w:hAnsi="PT Astra Serif"/>
          <w:sz w:val="24"/>
          <w:szCs w:val="24"/>
          <w:shd w:val="clear" w:color="auto" w:fill="FFFFFF"/>
        </w:rPr>
        <w:t xml:space="preserve"> прогнозирования поступлений по источникам финансирования дефицита бюджета города Югорска </w:t>
      </w:r>
      <w:r>
        <w:rPr>
          <w:rFonts w:ascii="PT Astra Serif" w:hAnsi="PT Astra Serif" w:cs="Times New Roman"/>
          <w:sz w:val="24"/>
          <w:szCs w:val="24"/>
        </w:rPr>
        <w:t xml:space="preserve">или их не соответствия </w:t>
      </w:r>
      <w:r>
        <w:rPr>
          <w:rFonts w:ascii="PT Astra Serif" w:hAnsi="PT Astra Serif"/>
          <w:sz w:val="24"/>
          <w:szCs w:val="24"/>
          <w:shd w:val="clear" w:color="auto" w:fill="FFFFFF"/>
        </w:rPr>
        <w:t xml:space="preserve">постановлениям Правительства Российской Федерации от 23.06.2016 № 574 </w:t>
      </w:r>
      <w:r>
        <w:rPr>
          <w:rFonts w:ascii="PT Astra Serif" w:hAnsi="PT Astra Serif"/>
          <w:sz w:val="24"/>
          <w:szCs w:val="24"/>
        </w:rPr>
        <w:t xml:space="preserve"> «</w:t>
      </w:r>
      <w:r>
        <w:rPr>
          <w:rFonts w:ascii="PT Astra Serif" w:hAnsi="PT Astra Serif"/>
          <w:sz w:val="24"/>
          <w:szCs w:val="24"/>
          <w:shd w:val="clear" w:color="auto" w:fill="FFFFFF"/>
        </w:rPr>
        <w:t xml:space="preserve">Об общих требованиях к методике прогнозирования поступлений доходов в бюджеты бюджетной системы Российской Федерации» и от 26.05.2016 № 469 </w:t>
      </w:r>
      <w:r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  <w:shd w:val="clear" w:color="auto" w:fill="FFFFFF"/>
        </w:rPr>
        <w:t>Об общих</w:t>
      </w:r>
      <w:proofErr w:type="gramEnd"/>
      <w:r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  <w:shd w:val="clear" w:color="auto" w:fill="FFFFFF"/>
        </w:rPr>
        <w:t>требованиях</w:t>
      </w:r>
      <w:proofErr w:type="gramEnd"/>
      <w:r>
        <w:rPr>
          <w:rFonts w:ascii="PT Astra Serif" w:hAnsi="PT Astra Serif"/>
          <w:sz w:val="24"/>
          <w:szCs w:val="24"/>
          <w:shd w:val="clear" w:color="auto" w:fill="FFFFFF"/>
        </w:rPr>
        <w:t xml:space="preserve"> к методике прогнозирования поступлений по источникам финансирования дефицита бюджета» </w:t>
      </w:r>
      <w:r>
        <w:rPr>
          <w:rFonts w:ascii="PT Astra Serif" w:hAnsi="PT Astra Serif"/>
          <w:sz w:val="24"/>
          <w:szCs w:val="24"/>
        </w:rPr>
        <w:t>о</w:t>
      </w:r>
      <w:r>
        <w:rPr>
          <w:rFonts w:ascii="PT Astra Serif" w:hAnsi="PT Astra Serif" w:cs="Times New Roman"/>
          <w:sz w:val="24"/>
          <w:szCs w:val="24"/>
        </w:rPr>
        <w:t>тсутствуют.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5) Показатель 2.5. «Качество планирования поступлений доходов ГАБС».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качество планирования и исполнения доходов, администрируемых ГАБС. Целевым ориентиром является значение показателя от 95% до 105%.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61,7 баллов.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Думе города Югорска не оценивался, в связи с отсутствием в 2021 году уточненных плановых назначений и фактических поступлений по администрируемым доходным источникам.</w:t>
      </w:r>
    </w:p>
    <w:p w:rsidR="00507175" w:rsidRDefault="0050717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Оценку 100,0 баллов получили 2 ГАБС (Департамент жилищно – коммунального и строительного комплекса, Департамент финансов). У данных ГАБС показатель исполнения плановых </w:t>
      </w:r>
      <w:r w:rsidR="003A213B">
        <w:rPr>
          <w:rFonts w:ascii="PT Astra Serif" w:hAnsi="PT Astra Serif" w:cs="Times New Roman"/>
          <w:sz w:val="24"/>
          <w:szCs w:val="24"/>
        </w:rPr>
        <w:t>показателей</w:t>
      </w:r>
      <w:r>
        <w:rPr>
          <w:rFonts w:ascii="PT Astra Serif" w:hAnsi="PT Astra Serif" w:cs="Times New Roman"/>
          <w:sz w:val="24"/>
          <w:szCs w:val="24"/>
        </w:rPr>
        <w:t xml:space="preserve"> по доходам составил 100,0% и 99,2% соответственно. </w:t>
      </w:r>
    </w:p>
    <w:p w:rsidR="00D74631" w:rsidRDefault="003A213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Оценку 70,0 баллов получил </w:t>
      </w:r>
      <w:r w:rsidR="0093238E">
        <w:rPr>
          <w:rFonts w:ascii="PT Astra Serif" w:hAnsi="PT Astra Serif" w:cs="Times New Roman"/>
          <w:sz w:val="24"/>
          <w:szCs w:val="24"/>
        </w:rPr>
        <w:t>Департамент муниципальной соб</w:t>
      </w:r>
      <w:r>
        <w:rPr>
          <w:rFonts w:ascii="PT Astra Serif" w:hAnsi="PT Astra Serif" w:cs="Times New Roman"/>
          <w:sz w:val="24"/>
          <w:szCs w:val="24"/>
        </w:rPr>
        <w:t xml:space="preserve">ственности и градостроительства, который исполнил </w:t>
      </w:r>
      <w:r w:rsidR="0093238E">
        <w:rPr>
          <w:rFonts w:ascii="PT Astra Serif" w:hAnsi="PT Astra Serif" w:cs="Times New Roman"/>
          <w:sz w:val="24"/>
          <w:szCs w:val="24"/>
        </w:rPr>
        <w:t>плановые показатели на 107,5%.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показателя по двум оцениваемым ГАБС составила 0,0 баллов (Администрация города Югорска и Управление образования), в связи с перевыполнением утоненных плановых показателей свыше 115%.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6) Показатель 2.6. «Соблюдение порядка составления и ведения кассового плана исполнения бюджета города».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качество работы по составлению и ведению кассового плана исполнения бюджета города</w:t>
      </w:r>
      <w:r w:rsidR="00083986">
        <w:rPr>
          <w:rFonts w:ascii="PT Astra Serif" w:hAnsi="PT Astra Serif" w:cs="Times New Roman"/>
          <w:sz w:val="24"/>
          <w:szCs w:val="24"/>
        </w:rPr>
        <w:t xml:space="preserve"> по доходам</w:t>
      </w:r>
      <w:r>
        <w:rPr>
          <w:rFonts w:ascii="PT Astra Serif" w:hAnsi="PT Astra Serif" w:cs="Times New Roman"/>
          <w:sz w:val="24"/>
          <w:szCs w:val="24"/>
        </w:rPr>
        <w:t xml:space="preserve">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по всем ГАБС оценен на 100,0 баллов. Фактов наличия нарушений ГАБС порядка составления и ведения кассового плана исполнения бюджета города, утвержденного приказом </w:t>
      </w:r>
      <w:r w:rsidR="007F69ED">
        <w:rPr>
          <w:rFonts w:ascii="PT Astra Serif" w:hAnsi="PT Astra Serif" w:cs="Times New Roman"/>
          <w:sz w:val="24"/>
          <w:szCs w:val="24"/>
        </w:rPr>
        <w:t xml:space="preserve">заместителя главы города - </w:t>
      </w:r>
      <w:r>
        <w:rPr>
          <w:rFonts w:ascii="PT Astra Serif" w:hAnsi="PT Astra Serif" w:cs="Times New Roman"/>
          <w:sz w:val="24"/>
          <w:szCs w:val="24"/>
        </w:rPr>
        <w:t>директора департамента финансов администрации города Югорска от 18.03.2008 № 7 отсутствуют.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7) Показатель 2.7. «Эффективность управления невыясненными поступлениями».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Показатель характеризует качество администрирования доходов бюджета города Югорска в отчетном финансовом году. Целевым ориентиром является значение показателя, равное 0.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Значение данного показателя определено как наличие </w:t>
      </w:r>
      <w:r>
        <w:rPr>
          <w:rFonts w:ascii="PT Astra Serif" w:hAnsi="PT Astra Serif"/>
          <w:sz w:val="24"/>
          <w:szCs w:val="24"/>
        </w:rPr>
        <w:t xml:space="preserve">сумм невыясненных поступлений у ГАБС  по состоянию на последний установленный Департаментом финансов Ханты-Мансийского автономного округа - Югры день 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в отчетном финансовом году. </w:t>
      </w:r>
      <w:proofErr w:type="gramEnd"/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письмом Департамента финансов Ханты-Мансийского автономного округа - Югры от 14.12.2021 № 20-Исх-4547 «О совершении операций в конце 2021 года» последний день </w:t>
      </w:r>
      <w:r>
        <w:rPr>
          <w:rFonts w:ascii="PT Astra Serif" w:hAnsi="PT Astra Serif"/>
          <w:sz w:val="24"/>
          <w:szCs w:val="24"/>
        </w:rPr>
        <w:t xml:space="preserve">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</w:t>
      </w:r>
      <w:r>
        <w:rPr>
          <w:rFonts w:ascii="PT Astra Serif" w:hAnsi="PT Astra Serif" w:cs="Times New Roman"/>
          <w:sz w:val="24"/>
          <w:szCs w:val="24"/>
        </w:rPr>
        <w:t>установлен  28.12.2021.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по всем ГАБС оценен на 100,0 баллов. По состоянию на 28.12.2021 у всех ГАБС отсутствуют невыясненные поступления. </w:t>
      </w:r>
    </w:p>
    <w:p w:rsidR="00D74631" w:rsidRDefault="00D74631">
      <w:pPr>
        <w:spacing w:after="0" w:line="240" w:lineRule="auto"/>
        <w:ind w:firstLine="708"/>
        <w:jc w:val="both"/>
        <w:rPr>
          <w:rFonts w:ascii="PT Astra Serif" w:hAnsi="PT Astra Serif"/>
          <w:color w:val="0070C0"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lastRenderedPageBreak/>
        <w:t>3. Оценка качества ведения учета и составления бюджетной отчетности</w:t>
      </w:r>
    </w:p>
    <w:p w:rsidR="00D74631" w:rsidRDefault="00D7463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данные годовых отчётов ГАБС за 2021 год об исполнении бюджета;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сведения о внесенных изменениях в бюджетную отчетность;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сопроводительные письма ГАБС о представлении в Департамент финансов информаций, отчетов, аналитических данных по вопросам планирования и исполнения бюджета города;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данные о принятии у ГАБС информаций, отчетов, аналитических данных, служебные записки Департамента финансов о предоставлении ГАБС недостоверной информации с требованием ее доработать.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3-й группе показателей по итогам 2021 года составила 89,9 балла по 100-балльной шкале.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итогам 2021 года только 1 из 8 ГАБС (12,5%) присвоена максимальная оценка – 100,0 баллов (Департаменту финансов). Остальные ГАБС имеют значения балльной оценки качества финансового менеджмента по 3-й группе показателей ниже среднего.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Рейтинг ГАБС по оценке состояния учёта и отчётности по итогам за 2021 год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6407150" cy="2171700"/>
            <wp:effectExtent l="0" t="0" r="12700" b="0"/>
            <wp:docPr id="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74631" w:rsidRDefault="0093238E" w:rsidP="00B2351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результатов исполнения бюджета проведена по четырем показателям: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1) Показатель 3.1. «Соблюдение сроков формирования и представления в Департамент финансов бюджетной отчётности об исполнении бюджета».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своевременность формирования и представления в Департамент финансов отчётности об исполнении бюджета.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всем ГАБС оценен на 100,0 баллов. Сроки предоставления в Департамент финансов бюджетной отчетности об исполнении бюджета города в 2021 году соблюдены всеми ГАБС.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2) Показатель 3.2. «Качество представленной бюджетной отчетности».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качество представления в Департамент финансов отчётности об исполнении бюджета.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по всем ГАБС оценен на 100,0 баллов</w:t>
      </w:r>
      <w:r w:rsidR="007F69ED">
        <w:rPr>
          <w:rFonts w:ascii="PT Astra Serif" w:hAnsi="PT Astra Serif" w:cs="Times New Roman"/>
          <w:sz w:val="24"/>
          <w:szCs w:val="24"/>
        </w:rPr>
        <w:t>, так как все ГАБС предоставили бюджетную отчетность в Департамент финансов в установленные сроки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3) Показатель 3.3. «Соблюдение сроков представления в Департамент финансов информаций, отчетов, аналитических данных по вопросам планирования и исполнения бюджета города».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характеризует своевременность представления в Департамент финансов информаций, отчетов, аналитических данных по вопросам планирования и исполнения бюджета города и отражает уровень ответственности и дисциплинированности ГАБС по соблюдению установленных сроков представления информаций, отчетов, аналитических данных за отчетный период.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98,4 балла.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Значение оценки показателя 100,0 баллов у 1 ГАБС (Департамент финансов) (12,5% от общего количества оцениваемых ГАБС), представившим информации, отчеты, аналитические данные своевременно.</w:t>
      </w:r>
      <w:proofErr w:type="gramEnd"/>
    </w:p>
    <w:p w:rsidR="00D74631" w:rsidRDefault="0093238E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       Остальные ГАБС получили оценку показателя от 90,0 до 100,0 баллов, так как имело место нарушение сроков представления в Департамент финансов информаций, отчетов, аналитических данных по вопросам планирования и исполнения бюджета города. 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4) Показатель 3.4. «Наличие ошибок, достоверность информаций, отчетов, аналитических данных по вопросам планирования и исполнения бюджета города, представленных в департамент финансов».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Показатель характеризует качество представления в Департамент финансов информаций, отчетов, аналитических данных по вопросам планирования и исполнения бюджета города.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показателю составила 58,3 балла.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Значение оценки показателя составило 100,0 баллов у Департамента финансов.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Оценку показателя 50,0 баллов получили остальные ГАБС, так как доля информаций, отчетов, аналитических данных по вопросам планирования и исполнения бюджета города, представленных ими в Департамент финансов без ошибок и не отправленных на доработку, в общем количестве информаций, отчетов, аналитических данных по вопросам планирования и исполнения бюджета города, запрашиваемых Департаментом финансов составила от 80,0% до 100,0%.</w:t>
      </w:r>
      <w:proofErr w:type="gramEnd"/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5) Показатель 3.5. «Объем незавершенного строительства».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увеличение или сохранение объемов незавершенного строительства на конец отчетного периода при условии сохранени</w:t>
      </w:r>
      <w:r w:rsidR="003A213B">
        <w:rPr>
          <w:rFonts w:ascii="PT Astra Serif" w:hAnsi="PT Astra Serif" w:cs="Times New Roman"/>
          <w:sz w:val="24"/>
          <w:szCs w:val="24"/>
        </w:rPr>
        <w:t>я</w:t>
      </w:r>
      <w:r>
        <w:rPr>
          <w:rFonts w:ascii="PT Astra Serif" w:hAnsi="PT Astra Serif" w:cs="Times New Roman"/>
          <w:sz w:val="24"/>
          <w:szCs w:val="24"/>
        </w:rPr>
        <w:t xml:space="preserve"> уровня бюджетных инвестиций.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Данный показатель по Думе города Югорска, Департаменту финансов, Администрации города Югорска, Управлению образования, Управления культуры, Управлению социальной политики не оценивал</w:t>
      </w:r>
      <w:r w:rsidR="009C1B49">
        <w:rPr>
          <w:rFonts w:ascii="PT Astra Serif" w:hAnsi="PT Astra Serif" w:cs="Times New Roman"/>
          <w:sz w:val="24"/>
          <w:szCs w:val="24"/>
        </w:rPr>
        <w:t>ся</w:t>
      </w:r>
      <w:r>
        <w:rPr>
          <w:rFonts w:ascii="PT Astra Serif" w:hAnsi="PT Astra Serif" w:cs="Times New Roman"/>
          <w:sz w:val="24"/>
          <w:szCs w:val="24"/>
        </w:rPr>
        <w:t xml:space="preserve"> в связи с тем, что отсутствуют данные для заполнения формы 0503190 </w:t>
      </w:r>
      <w:r w:rsidR="007F69ED">
        <w:rPr>
          <w:rFonts w:ascii="PT Astra Serif" w:hAnsi="PT Astra Serif" w:cs="Times New Roman"/>
          <w:sz w:val="24"/>
          <w:szCs w:val="24"/>
        </w:rPr>
        <w:t>«</w:t>
      </w:r>
      <w:r>
        <w:rPr>
          <w:rFonts w:ascii="PT Astra Serif" w:hAnsi="PT Astra Serif" w:cs="Times New Roman"/>
          <w:sz w:val="24"/>
          <w:szCs w:val="24"/>
        </w:rPr>
        <w:t>Сведения об объектах незавершенного строительства, вложениях в объекты недвижимого имущества</w:t>
      </w:r>
      <w:r w:rsidR="007F69ED">
        <w:rPr>
          <w:rFonts w:ascii="PT Astra Serif" w:hAnsi="PT Astra Serif" w:cs="Times New Roman"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Департамент жилищно – коммунального и строительного комплекса, Департамент муниципальной собственности и градостроительства получили оценку 100,0 баллов, так как объемы незавершенного строительства на конец отчетного периода снизились по сравнению с аналогичным периодом прошлого года.</w:t>
      </w:r>
    </w:p>
    <w:p w:rsidR="00D74631" w:rsidRDefault="00D7463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D74631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4. Оценка качества организации и осуществления внутреннего аудита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исполнения бюджета использовались данные</w:t>
      </w:r>
      <w:r w:rsidR="002350DF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предоставленные ГАБС: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об обеспечении независимости работы внутреннего финансового аудита;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об утверждении (актуализации) плана работы внутреннего финансового аудита;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о наличии актов ГРБС, обеспечивающих осуществление внутреннего финансового аудита;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об упрощенном осуществлении внутреннего финансового аудита, установленного актом ГРБС.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выполнение установленных требований к организации внутреннего финансового аудита, являющегося положительным фактором, способствующим повышению качества финансового менеджмента.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Целевым значением показателя является выполнение всех требований к организации внутреннего финансового аудита.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Средняя балльная оценка по 4-й группе показателей составила 43,3 балла.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Оценку 100,0 баллов получили Дума города Югорска, Департамент финансов, Управление образования, так как у данных ГРБС выполнены все установленные требования к организации внутреннего финансового аудита.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Остальные ГРБС получили оценку 0,0 баллов, так как не выполнили установленные требования к организации внутреннего финансового аудита.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D74631" w:rsidRDefault="00D7463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A213B" w:rsidRDefault="003A213B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Рейтинг ГАБС по Оценк</w:t>
      </w:r>
      <w:r w:rsidR="0048235F">
        <w:rPr>
          <w:rFonts w:ascii="PT Astra Serif" w:hAnsi="PT Astra Serif" w:cs="Times New Roman"/>
          <w:b/>
          <w:sz w:val="24"/>
          <w:szCs w:val="24"/>
        </w:rPr>
        <w:t>е</w:t>
      </w:r>
      <w:r>
        <w:rPr>
          <w:rFonts w:ascii="PT Astra Serif" w:hAnsi="PT Astra Serif" w:cs="Times New Roman"/>
          <w:b/>
          <w:sz w:val="24"/>
          <w:szCs w:val="24"/>
        </w:rPr>
        <w:t xml:space="preserve"> качества организации и осуществления внутреннего аудита по итогам за 2021 год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drawing>
          <wp:inline distT="0" distB="0" distL="0" distR="0">
            <wp:extent cx="6430092" cy="2507226"/>
            <wp:effectExtent l="0" t="0" r="8890" b="7620"/>
            <wp:docPr id="1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74631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4631" w:rsidRPr="00444E80" w:rsidRDefault="0093238E" w:rsidP="00444E80">
      <w:pPr>
        <w:pStyle w:val="af3"/>
        <w:numPr>
          <w:ilvl w:val="0"/>
          <w:numId w:val="23"/>
        </w:numPr>
        <w:spacing w:line="240" w:lineRule="auto"/>
        <w:jc w:val="center"/>
        <w:rPr>
          <w:rFonts w:ascii="PT Astra Serif" w:hAnsi="PT Astra Serif"/>
          <w:b/>
        </w:rPr>
      </w:pPr>
      <w:r w:rsidRPr="00444E80">
        <w:rPr>
          <w:rFonts w:ascii="PT Astra Serif" w:hAnsi="PT Astra Serif"/>
          <w:b/>
        </w:rPr>
        <w:t>Оценка качества управления активами</w:t>
      </w:r>
    </w:p>
    <w:p w:rsidR="002350DF" w:rsidRPr="0048235F" w:rsidRDefault="002350DF" w:rsidP="00444E80">
      <w:pPr>
        <w:pStyle w:val="af3"/>
        <w:spacing w:line="240" w:lineRule="auto"/>
        <w:ind w:left="720"/>
        <w:rPr>
          <w:rFonts w:ascii="PT Astra Serif" w:hAnsi="PT Astra Serif"/>
          <w:b/>
        </w:rPr>
      </w:pP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информация контрольно – счетной палаты города Югорска;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данные годовых отчетов ГАБС за 2021 год.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балльная оценка по 5-й группе показателей по итогам 2021 года составила 100,0 баллов.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По итогам 2021 года всем ГАБС присвоена максимальная оценка – 100,0 баллов. </w:t>
      </w:r>
    </w:p>
    <w:p w:rsidR="00D74631" w:rsidRDefault="00D74631">
      <w:pPr>
        <w:spacing w:after="0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Рейтинг ГАБС по оценке качества управления активами по итогам за 2021 год</w:t>
      </w:r>
    </w:p>
    <w:p w:rsidR="00D74631" w:rsidRDefault="0093238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6431854" cy="3075039"/>
            <wp:effectExtent l="0" t="0" r="7620" b="0"/>
            <wp:docPr id="1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Оценка результатов исполнения бюджета проведена по двум показателям: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 xml:space="preserve">1) Показатель 5.1 «Наличие выявленных в ходе инвентаризации недостач и хищений денежных средств и материальных ценностей». 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Показатель характеризует наличие/отсутствие выявленных в ходе инвентаризации недостач и хищений денежных средств и материальных ценностей.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Целевым ориентиром является отсутствие выявленных в ходе инвентаризации недостач и хищений денежных средств и материальных ценностей.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Все оцениваемые ГАБС получили оценку 100,0 баллов.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Средняя оценка по показателю составила 100,0 баллов. 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2) Показатель 5.2. «Наличие нарушений в части неэффективного использования муниципальной собственности, выявленных контрольно-счетной палатой города Югорска в ходе контрольных мероприятий».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ab/>
        <w:t>Показатель характеризует наличие/отсутствие нарушений в части неэффективного использования муниципальной собственности, выявленных контрольно-счетной палатой города Югорска в ходе проверок ГАБС.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Целевым ориентиром является отсутствие нарушений в части неэффективного использования муниципальной собственности, выявленных контрольно-счетной палатой города Югорска в ходе контрольных мероприятий.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Средняя оценка по показателю по итогам за 2021 год составила 100,0 баллов.</w:t>
      </w:r>
    </w:p>
    <w:p w:rsidR="002076BC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По всем оцениваемым ГАБС оценки показателя составили 100,0 баллов.</w:t>
      </w:r>
    </w:p>
    <w:p w:rsidR="00491A71" w:rsidRDefault="002076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Таким образом, по результатам проведенного мониторинга качества финансового менеджмента</w:t>
      </w:r>
      <w:r w:rsidR="00491A71">
        <w:rPr>
          <w:rFonts w:ascii="PT Astra Serif" w:hAnsi="PT Astra Serif" w:cs="Times New Roman"/>
          <w:sz w:val="24"/>
          <w:szCs w:val="24"/>
        </w:rPr>
        <w:t>:</w:t>
      </w:r>
    </w:p>
    <w:p w:rsidR="00D74631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среди ГАБС, не имеющих подведомственных муниципальных учреждений 2 ГАБС имеют уровень финансового менеджмента «высокий», остальные «средний»;</w:t>
      </w:r>
    </w:p>
    <w:p w:rsidR="00467E03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среди ГАБС, </w:t>
      </w:r>
      <w:proofErr w:type="gramStart"/>
      <w:r>
        <w:rPr>
          <w:rFonts w:ascii="PT Astra Serif" w:hAnsi="PT Astra Serif" w:cs="Times New Roman"/>
          <w:sz w:val="24"/>
          <w:szCs w:val="24"/>
        </w:rPr>
        <w:t>имеющих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подведомственные муниципальные учреждения</w:t>
      </w:r>
      <w:r w:rsidR="00467E03">
        <w:rPr>
          <w:rFonts w:ascii="PT Astra Serif" w:hAnsi="PT Astra Serif" w:cs="Times New Roman"/>
          <w:sz w:val="24"/>
          <w:szCs w:val="24"/>
        </w:rPr>
        <w:t xml:space="preserve"> , 1 ГАБС имеет уровень качества финансового менеджмента «высокий», остальные средний».</w:t>
      </w:r>
    </w:p>
    <w:p w:rsidR="00467E03" w:rsidRDefault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Главным администраторам бюджетных средств следует обратить внимание </w:t>
      </w:r>
      <w:proofErr w:type="gramStart"/>
      <w:r>
        <w:rPr>
          <w:rFonts w:ascii="PT Astra Serif" w:hAnsi="PT Astra Serif" w:cs="Times New Roman"/>
          <w:sz w:val="24"/>
          <w:szCs w:val="24"/>
        </w:rPr>
        <w:t>на</w:t>
      </w:r>
      <w:proofErr w:type="gramEnd"/>
      <w:r>
        <w:rPr>
          <w:rFonts w:ascii="PT Astra Serif" w:hAnsi="PT Astra Serif" w:cs="Times New Roman"/>
          <w:sz w:val="24"/>
          <w:szCs w:val="24"/>
        </w:rPr>
        <w:t>:</w:t>
      </w:r>
    </w:p>
    <w:p w:rsidR="00467E03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67E03">
        <w:rPr>
          <w:rFonts w:ascii="PT Astra Serif" w:hAnsi="PT Astra Serif" w:cs="Times New Roman"/>
          <w:sz w:val="24"/>
          <w:szCs w:val="24"/>
        </w:rPr>
        <w:t>- необходимость разработки нормативного правового акта, регламентирующего подготовку бюджетных проектировок на очередной финансовый год и плановый период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E013E0" w:rsidRPr="00FD7CA4" w:rsidRDefault="00E013E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D7CA4">
        <w:rPr>
          <w:rFonts w:ascii="PT Astra Serif" w:hAnsi="PT Astra Serif" w:cs="Times New Roman"/>
          <w:sz w:val="24"/>
          <w:szCs w:val="24"/>
        </w:rPr>
        <w:t xml:space="preserve">- </w:t>
      </w:r>
      <w:r w:rsidR="00FD7CA4" w:rsidRPr="00FD7CA4">
        <w:rPr>
          <w:rFonts w:ascii="PT Astra Serif" w:hAnsi="PT Astra Serif" w:cs="Times New Roman"/>
          <w:sz w:val="24"/>
          <w:szCs w:val="24"/>
        </w:rPr>
        <w:t>качество представления ГАБС в департамент финансов документов и материалов, необходимых для составления проекта бюджета города, в соответствии с утвержденным Графиком</w:t>
      </w:r>
      <w:r w:rsidR="00141012">
        <w:rPr>
          <w:rFonts w:ascii="PT Astra Serif" w:hAnsi="PT Astra Serif" w:cs="Times New Roman"/>
          <w:sz w:val="24"/>
          <w:szCs w:val="24"/>
        </w:rPr>
        <w:t xml:space="preserve"> </w:t>
      </w:r>
      <w:r w:rsidR="00141012" w:rsidRPr="00141012">
        <w:rPr>
          <w:rFonts w:ascii="PT Astra Serif" w:hAnsi="PT Astra Serif"/>
          <w:sz w:val="24"/>
          <w:szCs w:val="24"/>
        </w:rPr>
        <w:t>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</w:t>
      </w:r>
    </w:p>
    <w:p w:rsidR="00467E03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67E03"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 w:cs="Times New Roman"/>
          <w:sz w:val="24"/>
          <w:szCs w:val="24"/>
        </w:rPr>
        <w:t>к</w:t>
      </w:r>
      <w:r w:rsidRPr="00467E03">
        <w:rPr>
          <w:rFonts w:ascii="PT Astra Serif" w:hAnsi="PT Astra Serif" w:cs="Times New Roman"/>
          <w:sz w:val="24"/>
          <w:szCs w:val="24"/>
        </w:rPr>
        <w:t>ачество составления ГАБС прогнозов отдельных кассовых выплат по расходам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467E03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467E03">
        <w:rPr>
          <w:rFonts w:ascii="PT Astra Serif" w:hAnsi="PT Astra Serif" w:cs="Times New Roman"/>
          <w:sz w:val="24"/>
          <w:szCs w:val="24"/>
        </w:rPr>
        <w:t>наличие ошибок, достоверность информаций, отчетов, аналитических данных по вопросам планирования и исполнения бюджета города, представленных в департамент финансов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467E03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67E03">
        <w:rPr>
          <w:rFonts w:ascii="PT Astra Serif" w:hAnsi="PT Astra Serif" w:cs="Times New Roman"/>
          <w:sz w:val="24"/>
          <w:szCs w:val="24"/>
        </w:rPr>
        <w:t>- качество планирования расходов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7042CB" w:rsidRPr="007042CB" w:rsidRDefault="007042C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042CB">
        <w:rPr>
          <w:rFonts w:ascii="PT Astra Serif" w:hAnsi="PT Astra Serif" w:cs="Times New Roman"/>
          <w:sz w:val="24"/>
          <w:szCs w:val="24"/>
        </w:rPr>
        <w:t>- качество планирования поступлений доходов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467E03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467E03">
        <w:rPr>
          <w:rFonts w:ascii="PT Astra Serif" w:hAnsi="PT Astra Serif" w:cs="Times New Roman"/>
          <w:sz w:val="24"/>
          <w:szCs w:val="24"/>
        </w:rPr>
        <w:t>соблюдение сроков утверждения заказчиками планов – графиков закупок в Единой информационной системе в сфере закупок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467E03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67E03">
        <w:rPr>
          <w:rFonts w:ascii="PT Astra Serif" w:hAnsi="PT Astra Serif" w:cs="Times New Roman"/>
          <w:sz w:val="24"/>
          <w:szCs w:val="24"/>
        </w:rPr>
        <w:t>-  организацию внутреннего финансового аудита</w:t>
      </w:r>
      <w:r w:rsidR="007042CB">
        <w:rPr>
          <w:rFonts w:ascii="PT Astra Serif" w:hAnsi="PT Astra Serif" w:cs="Times New Roman"/>
          <w:sz w:val="24"/>
          <w:szCs w:val="24"/>
        </w:rPr>
        <w:t>.</w:t>
      </w:r>
      <w:r w:rsidRPr="00467E03">
        <w:rPr>
          <w:rFonts w:ascii="PT Astra Serif" w:hAnsi="PT Astra Serif" w:cs="Times New Roman"/>
          <w:sz w:val="24"/>
          <w:szCs w:val="24"/>
        </w:rPr>
        <w:t xml:space="preserve"> </w:t>
      </w:r>
    </w:p>
    <w:p w:rsidR="00141012" w:rsidRDefault="00141012" w:rsidP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ГАБС, </w:t>
      </w:r>
      <w:proofErr w:type="gramStart"/>
      <w:r>
        <w:rPr>
          <w:rFonts w:ascii="PT Astra Serif" w:hAnsi="PT Astra Serif" w:cs="Times New Roman"/>
          <w:sz w:val="24"/>
          <w:szCs w:val="24"/>
        </w:rPr>
        <w:t>получившим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итоговую балльную оценку качества финансового менеджмента ниже среднего, направлены рекомендации по повышению качества финансового менеджмента.</w:t>
      </w:r>
    </w:p>
    <w:p w:rsidR="00141012" w:rsidRPr="00467E03" w:rsidRDefault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467E03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D74631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sectPr w:rsidR="00D74631">
      <w:headerReference w:type="default" r:id="rId21"/>
      <w:type w:val="oddPage"/>
      <w:pgSz w:w="11906" w:h="16838"/>
      <w:pgMar w:top="568" w:right="566" w:bottom="426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4D" w:rsidRDefault="0060764D">
      <w:pPr>
        <w:spacing w:after="0" w:line="240" w:lineRule="auto"/>
      </w:pPr>
      <w:r>
        <w:separator/>
      </w:r>
    </w:p>
  </w:endnote>
  <w:endnote w:type="continuationSeparator" w:id="0">
    <w:p w:rsidR="0060764D" w:rsidRDefault="0060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4D" w:rsidRDefault="0060764D">
      <w:pPr>
        <w:spacing w:after="0" w:line="240" w:lineRule="auto"/>
      </w:pPr>
      <w:r>
        <w:separator/>
      </w:r>
    </w:p>
  </w:footnote>
  <w:footnote w:type="continuationSeparator" w:id="0">
    <w:p w:rsidR="0060764D" w:rsidRDefault="0060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98421"/>
      <w:docPartObj>
        <w:docPartGallery w:val="Page Numbers (Top of Page)"/>
        <w:docPartUnique/>
      </w:docPartObj>
    </w:sdtPr>
    <w:sdtContent>
      <w:p w:rsidR="0060764D" w:rsidRDefault="0060764D">
        <w:pPr>
          <w:pStyle w:val="af6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7C5"/>
    <w:multiLevelType w:val="hybridMultilevel"/>
    <w:tmpl w:val="B226E972"/>
    <w:lvl w:ilvl="0" w:tplc="4024F1B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6CEAC39C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B664CFEA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DC2288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A6C916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D6A28EDC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35A586C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7C5EBAD4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EC62ED54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7460C65"/>
    <w:multiLevelType w:val="hybridMultilevel"/>
    <w:tmpl w:val="6DF26B34"/>
    <w:lvl w:ilvl="0" w:tplc="2394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5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A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E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4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E3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0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C1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A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7E5F"/>
    <w:multiLevelType w:val="hybridMultilevel"/>
    <w:tmpl w:val="C9E83CBA"/>
    <w:lvl w:ilvl="0" w:tplc="FA063ED0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344A5D74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9EA48EE6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AD0889D8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A7F8670A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7B8AFE2E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E44031AA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B436EDBE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1B6A3790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3">
    <w:nsid w:val="1D2F4014"/>
    <w:multiLevelType w:val="hybridMultilevel"/>
    <w:tmpl w:val="20907CD8"/>
    <w:lvl w:ilvl="0" w:tplc="CC8496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8C7E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9059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2692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1020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EEEB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D66C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EA5A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8A6B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923F0"/>
    <w:multiLevelType w:val="hybridMultilevel"/>
    <w:tmpl w:val="E4542770"/>
    <w:lvl w:ilvl="0" w:tplc="72D275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3FABA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6DE9BD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6D021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7ACCC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CEC606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A6817B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292DAE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358CF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C91CF3"/>
    <w:multiLevelType w:val="hybridMultilevel"/>
    <w:tmpl w:val="7A207918"/>
    <w:lvl w:ilvl="0" w:tplc="FDE872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3247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FE28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0033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7CCD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229F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3262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9E1A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AA51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8A06A0"/>
    <w:multiLevelType w:val="hybridMultilevel"/>
    <w:tmpl w:val="B248E002"/>
    <w:lvl w:ilvl="0" w:tplc="4342B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26692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5AEA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DA05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7AB5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DE00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C22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329E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A0B7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6F7C46"/>
    <w:multiLevelType w:val="hybridMultilevel"/>
    <w:tmpl w:val="A8E4DA3C"/>
    <w:lvl w:ilvl="0" w:tplc="E7C646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5DAF8E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DD663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2ECA7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DC066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96EB1D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2ECE4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BBAD22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AA0A6B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F742D6"/>
    <w:multiLevelType w:val="hybridMultilevel"/>
    <w:tmpl w:val="8F52CE10"/>
    <w:lvl w:ilvl="0" w:tplc="DE40D7E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D279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05E47A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1D00E1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FEF2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740DA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5CD72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4E9FA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E22D7E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BE7B02"/>
    <w:multiLevelType w:val="hybridMultilevel"/>
    <w:tmpl w:val="A8B22A3A"/>
    <w:lvl w:ilvl="0" w:tplc="3FFC09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D2AA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FC32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4C8E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30FE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24E0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041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2A6B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E49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A90587"/>
    <w:multiLevelType w:val="hybridMultilevel"/>
    <w:tmpl w:val="985A256A"/>
    <w:lvl w:ilvl="0" w:tplc="D9D2E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644B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E0B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BCCC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A45C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5C7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98DF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8CA3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94A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803D9"/>
    <w:multiLevelType w:val="hybridMultilevel"/>
    <w:tmpl w:val="85FA45F6"/>
    <w:lvl w:ilvl="0" w:tplc="683080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C0EF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FC37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E4C9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10CE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7A96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F8BC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86D8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4C15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7D2C5A"/>
    <w:multiLevelType w:val="hybridMultilevel"/>
    <w:tmpl w:val="84DC49E0"/>
    <w:lvl w:ilvl="0" w:tplc="96FCE1DC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73AACDC0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CB34183E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7804BB74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F0AEDB4A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4F222CD6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8C2019F0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5386BCE6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468CFA1A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>
    <w:nsid w:val="4C255DF1"/>
    <w:multiLevelType w:val="hybridMultilevel"/>
    <w:tmpl w:val="49440FAE"/>
    <w:lvl w:ilvl="0" w:tplc="F260EC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9CD0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92CE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A97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607E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B46A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C28D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E4B0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7E83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463160"/>
    <w:multiLevelType w:val="hybridMultilevel"/>
    <w:tmpl w:val="E5F6D034"/>
    <w:lvl w:ilvl="0" w:tplc="E668B3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7F6A72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80E1F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5A0A3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D1CEDA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3B8B94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EAE214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3456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D2ED7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935292"/>
    <w:multiLevelType w:val="hybridMultilevel"/>
    <w:tmpl w:val="EEF28166"/>
    <w:lvl w:ilvl="0" w:tplc="90AC9078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CA34D0F4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9DD45130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FE8C04CE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D5468F3E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CC02F596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3F9A65D6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48F07F90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57802ED6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6">
    <w:nsid w:val="6B782116"/>
    <w:multiLevelType w:val="hybridMultilevel"/>
    <w:tmpl w:val="F81845E2"/>
    <w:lvl w:ilvl="0" w:tplc="83CCBB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3A21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52A6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7E96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AEE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E4E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6C75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F0A3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5423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B24950"/>
    <w:multiLevelType w:val="hybridMultilevel"/>
    <w:tmpl w:val="1CC07B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A43C8"/>
    <w:multiLevelType w:val="hybridMultilevel"/>
    <w:tmpl w:val="22800026"/>
    <w:lvl w:ilvl="0" w:tplc="20DE5C66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1D580BBA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5FEA81E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3B29A98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FB65ED0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BE483F76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1FA2FBA2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3BEEA58A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26A853DE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D790013"/>
    <w:multiLevelType w:val="hybridMultilevel"/>
    <w:tmpl w:val="043CB9B8"/>
    <w:lvl w:ilvl="0" w:tplc="37B47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21DCC">
      <w:start w:val="1"/>
      <w:numFmt w:val="lowerLetter"/>
      <w:lvlText w:val="%2."/>
      <w:lvlJc w:val="left"/>
      <w:pPr>
        <w:ind w:left="1440" w:hanging="360"/>
      </w:pPr>
    </w:lvl>
    <w:lvl w:ilvl="2" w:tplc="9FB8BE70">
      <w:start w:val="1"/>
      <w:numFmt w:val="lowerRoman"/>
      <w:lvlText w:val="%3."/>
      <w:lvlJc w:val="right"/>
      <w:pPr>
        <w:ind w:left="2160" w:hanging="180"/>
      </w:pPr>
    </w:lvl>
    <w:lvl w:ilvl="3" w:tplc="5742FA1C">
      <w:start w:val="1"/>
      <w:numFmt w:val="decimal"/>
      <w:lvlText w:val="%4."/>
      <w:lvlJc w:val="left"/>
      <w:pPr>
        <w:ind w:left="2880" w:hanging="360"/>
      </w:pPr>
    </w:lvl>
    <w:lvl w:ilvl="4" w:tplc="A02C5B7A">
      <w:start w:val="1"/>
      <w:numFmt w:val="lowerLetter"/>
      <w:lvlText w:val="%5."/>
      <w:lvlJc w:val="left"/>
      <w:pPr>
        <w:ind w:left="3600" w:hanging="360"/>
      </w:pPr>
    </w:lvl>
    <w:lvl w:ilvl="5" w:tplc="BD089100">
      <w:start w:val="1"/>
      <w:numFmt w:val="lowerRoman"/>
      <w:lvlText w:val="%6."/>
      <w:lvlJc w:val="right"/>
      <w:pPr>
        <w:ind w:left="4320" w:hanging="180"/>
      </w:pPr>
    </w:lvl>
    <w:lvl w:ilvl="6" w:tplc="162AB202">
      <w:start w:val="1"/>
      <w:numFmt w:val="decimal"/>
      <w:lvlText w:val="%7."/>
      <w:lvlJc w:val="left"/>
      <w:pPr>
        <w:ind w:left="5040" w:hanging="360"/>
      </w:pPr>
    </w:lvl>
    <w:lvl w:ilvl="7" w:tplc="8C3083FA">
      <w:start w:val="1"/>
      <w:numFmt w:val="lowerLetter"/>
      <w:lvlText w:val="%8."/>
      <w:lvlJc w:val="left"/>
      <w:pPr>
        <w:ind w:left="5760" w:hanging="360"/>
      </w:pPr>
    </w:lvl>
    <w:lvl w:ilvl="8" w:tplc="A6D6EC6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A5B57"/>
    <w:multiLevelType w:val="hybridMultilevel"/>
    <w:tmpl w:val="E2D48B14"/>
    <w:lvl w:ilvl="0" w:tplc="12360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6E6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E8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9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E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E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5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2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32B20"/>
    <w:multiLevelType w:val="hybridMultilevel"/>
    <w:tmpl w:val="38B62C00"/>
    <w:lvl w:ilvl="0" w:tplc="592C75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C0237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DABC2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EE8D2C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3C0D9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FCAA5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C8C77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354D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46BA0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3F71DFC"/>
    <w:multiLevelType w:val="hybridMultilevel"/>
    <w:tmpl w:val="12349376"/>
    <w:lvl w:ilvl="0" w:tplc="9D52D02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C0271C0">
      <w:start w:val="1"/>
      <w:numFmt w:val="lowerLetter"/>
      <w:lvlText w:val="%2."/>
      <w:lvlJc w:val="left"/>
      <w:pPr>
        <w:ind w:left="1789" w:hanging="360"/>
      </w:pPr>
    </w:lvl>
    <w:lvl w:ilvl="2" w:tplc="6B46EA96">
      <w:start w:val="1"/>
      <w:numFmt w:val="lowerRoman"/>
      <w:lvlText w:val="%3."/>
      <w:lvlJc w:val="right"/>
      <w:pPr>
        <w:ind w:left="2509" w:hanging="180"/>
      </w:pPr>
    </w:lvl>
    <w:lvl w:ilvl="3" w:tplc="15C82154">
      <w:start w:val="1"/>
      <w:numFmt w:val="decimal"/>
      <w:lvlText w:val="%4."/>
      <w:lvlJc w:val="left"/>
      <w:pPr>
        <w:ind w:left="3229" w:hanging="360"/>
      </w:pPr>
    </w:lvl>
    <w:lvl w:ilvl="4" w:tplc="19869556">
      <w:start w:val="1"/>
      <w:numFmt w:val="lowerLetter"/>
      <w:lvlText w:val="%5."/>
      <w:lvlJc w:val="left"/>
      <w:pPr>
        <w:ind w:left="3949" w:hanging="360"/>
      </w:pPr>
    </w:lvl>
    <w:lvl w:ilvl="5" w:tplc="B17A16FC">
      <w:start w:val="1"/>
      <w:numFmt w:val="lowerRoman"/>
      <w:lvlText w:val="%6."/>
      <w:lvlJc w:val="right"/>
      <w:pPr>
        <w:ind w:left="4669" w:hanging="180"/>
      </w:pPr>
    </w:lvl>
    <w:lvl w:ilvl="6" w:tplc="2490F390">
      <w:start w:val="1"/>
      <w:numFmt w:val="decimal"/>
      <w:lvlText w:val="%7."/>
      <w:lvlJc w:val="left"/>
      <w:pPr>
        <w:ind w:left="5389" w:hanging="360"/>
      </w:pPr>
    </w:lvl>
    <w:lvl w:ilvl="7" w:tplc="85A21910">
      <w:start w:val="1"/>
      <w:numFmt w:val="lowerLetter"/>
      <w:lvlText w:val="%8."/>
      <w:lvlJc w:val="left"/>
      <w:pPr>
        <w:ind w:left="6109" w:hanging="360"/>
      </w:pPr>
    </w:lvl>
    <w:lvl w:ilvl="8" w:tplc="F554358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10"/>
  </w:num>
  <w:num w:numId="8">
    <w:abstractNumId w:val="19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1"/>
  </w:num>
  <w:num w:numId="17">
    <w:abstractNumId w:val="12"/>
  </w:num>
  <w:num w:numId="18">
    <w:abstractNumId w:val="2"/>
  </w:num>
  <w:num w:numId="19">
    <w:abstractNumId w:val="5"/>
  </w:num>
  <w:num w:numId="20">
    <w:abstractNumId w:val="0"/>
  </w:num>
  <w:num w:numId="21">
    <w:abstractNumId w:val="3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31"/>
    <w:rsid w:val="0000725D"/>
    <w:rsid w:val="00037104"/>
    <w:rsid w:val="00083986"/>
    <w:rsid w:val="000A3CAD"/>
    <w:rsid w:val="00131089"/>
    <w:rsid w:val="00141012"/>
    <w:rsid w:val="00155F1D"/>
    <w:rsid w:val="002076BC"/>
    <w:rsid w:val="002350DF"/>
    <w:rsid w:val="00245FFA"/>
    <w:rsid w:val="002D41A4"/>
    <w:rsid w:val="003A213B"/>
    <w:rsid w:val="003B3FBE"/>
    <w:rsid w:val="003E20A9"/>
    <w:rsid w:val="00416CDC"/>
    <w:rsid w:val="00444E80"/>
    <w:rsid w:val="00467E03"/>
    <w:rsid w:val="0048235F"/>
    <w:rsid w:val="00491A71"/>
    <w:rsid w:val="004C005D"/>
    <w:rsid w:val="004E6283"/>
    <w:rsid w:val="00507175"/>
    <w:rsid w:val="00524C5A"/>
    <w:rsid w:val="0055358C"/>
    <w:rsid w:val="005579C4"/>
    <w:rsid w:val="005B11D0"/>
    <w:rsid w:val="0060764D"/>
    <w:rsid w:val="006225EE"/>
    <w:rsid w:val="006D18D5"/>
    <w:rsid w:val="007042CB"/>
    <w:rsid w:val="00761548"/>
    <w:rsid w:val="0079267A"/>
    <w:rsid w:val="007939CA"/>
    <w:rsid w:val="007E105C"/>
    <w:rsid w:val="007E5414"/>
    <w:rsid w:val="007E58CA"/>
    <w:rsid w:val="007F69ED"/>
    <w:rsid w:val="008733E1"/>
    <w:rsid w:val="008E7EF6"/>
    <w:rsid w:val="00916857"/>
    <w:rsid w:val="0093062C"/>
    <w:rsid w:val="0093238E"/>
    <w:rsid w:val="009C1B49"/>
    <w:rsid w:val="00A1246C"/>
    <w:rsid w:val="00A321BF"/>
    <w:rsid w:val="00AA2ABE"/>
    <w:rsid w:val="00B11979"/>
    <w:rsid w:val="00B23511"/>
    <w:rsid w:val="00C4105B"/>
    <w:rsid w:val="00CC0CB8"/>
    <w:rsid w:val="00D67EDE"/>
    <w:rsid w:val="00D74631"/>
    <w:rsid w:val="00E013E0"/>
    <w:rsid w:val="00E34011"/>
    <w:rsid w:val="00E3686E"/>
    <w:rsid w:val="00E46538"/>
    <w:rsid w:val="00EC598C"/>
    <w:rsid w:val="00F434A4"/>
    <w:rsid w:val="00FC26C0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99"/>
    <w:qFormat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3">
    <w:name w:val="Body Text Indent 3"/>
    <w:basedOn w:val="a"/>
    <w:link w:val="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5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footnote text"/>
    <w:basedOn w:val="a"/>
    <w:link w:val="afc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Body Text Indent"/>
    <w:basedOn w:val="a"/>
    <w:link w:val="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uiPriority w:val="99"/>
    <w:semiHidden/>
  </w:style>
  <w:style w:type="character" w:customStyle="1" w:styleId="13">
    <w:name w:val="Основной текст с отступом Знак1"/>
    <w:link w:val="afe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  <w:style w:type="character" w:styleId="aff9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99"/>
    <w:qFormat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3">
    <w:name w:val="Body Text Indent 3"/>
    <w:basedOn w:val="a"/>
    <w:link w:val="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5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footnote text"/>
    <w:basedOn w:val="a"/>
    <w:link w:val="afc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Body Text Indent"/>
    <w:basedOn w:val="a"/>
    <w:link w:val="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uiPriority w:val="99"/>
    <w:semiHidden/>
  </w:style>
  <w:style w:type="character" w:customStyle="1" w:styleId="13">
    <w:name w:val="Основной текст с отступом Знак1"/>
    <w:link w:val="afe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  <w:style w:type="character" w:styleId="aff9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lnSpc>
                <a:spcPct val="125000"/>
              </a:lnSpc>
              <a:defRPr sz="1600" b="1" i="0" u="none" strike="noStrike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PT Astra Serif"/>
                <a:ea typeface="PT Astra Serif"/>
                <a:cs typeface="Times New Roman"/>
              </a:rPr>
              <a:t>Удельный вес групп показателей в оценке качества финансового менеджмента по итогам за 2021 год</a:t>
            </a:r>
            <a:r>
              <a:rPr lang="ru-RU" sz="1200"/>
              <a:t/>
            </a:r>
            <a:br>
              <a:rPr lang="ru-RU" sz="1200"/>
            </a:br>
            <a:endParaRPr lang="ru-RU"/>
          </a:p>
        </c:rich>
      </c:tx>
      <c:layout>
        <c:manualLayout>
          <c:xMode val="edge"/>
          <c:yMode val="edge"/>
          <c:x val="0.20547974155257623"/>
          <c:y val="3.8914279071759379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  <c:perspective val="3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"/>
          <c:y val="0.22321641612980195"/>
          <c:w val="0.67591597503014822"/>
          <c:h val="0.690071826685999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групп показателей в итоговой оценке мониторинга качества финансового менеджмента
</c:v>
                </c:pt>
              </c:strCache>
            </c:strRef>
          </c:tx>
          <c:explosion val="11"/>
          <c:dPt>
            <c:idx val="0"/>
            <c:bubble3D val="0"/>
            <c:spPr>
              <a:solidFill>
                <a:srgbClr val="324ADA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F24C3A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5CB870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72C8"/>
              </a:solidFill>
              <a:ln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30DEE2"/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22711274266392376"/>
                  <c:y val="-0.1769291950394312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109405665508028"/>
                  <c:y val="-1.88288089862893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6258892234520953E-2"/>
                  <c:y val="5.109550700101876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3.7729954363812594E-2"/>
                  <c:y val="4.91257211729652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6428938781300985E-2"/>
                  <c:y val="5.80110615543686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7.4021844043688514E-2"/>
                  <c:y val="4.43386867390488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6973668614003893E-2"/>
                  <c:y val="7.14916692682138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>
                    <a:solidFill>
                      <a:sysClr val="windowText" lastClr="000000"/>
                    </a:solidFill>
                    <a:latin typeface="Times New Roman"/>
                    <a:ea typeface="+mn-ea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Оценка качества управления расходами бюджета</c:v>
                </c:pt>
                <c:pt idx="1">
                  <c:v>Оценка качества управления доходами и источниками финансирования дефицита бюджета</c:v>
                </c:pt>
                <c:pt idx="2">
                  <c:v>Оценка качества ведения учета и составления бюджетной отчетности</c:v>
                </c:pt>
                <c:pt idx="3">
                  <c:v>Оценка качества организации и осуществления внутреннего аудита</c:v>
                </c:pt>
                <c:pt idx="4">
                  <c:v>Оценка качества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68.8</c:v>
                </c:pt>
                <c:pt idx="1">
                  <c:v>14.6</c:v>
                </c:pt>
                <c:pt idx="2">
                  <c:v>10.4</c:v>
                </c:pt>
                <c:pt idx="3">
                  <c:v>2.1</c:v>
                </c:pt>
                <c:pt idx="4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017452470029932"/>
          <c:y val="0.29942581478014552"/>
          <c:w val="0.37036670663397181"/>
          <c:h val="0.699027447150501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>
              <a:solidFill>
                <a:schemeClr val="tx1"/>
              </a:solidFill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14733892564991E-2"/>
          <c:y val="0.14258985102753174"/>
          <c:w val="0.72561675071924059"/>
          <c:h val="0.7075199582267592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028723599758328E-2"/>
                  <c:y val="-7.1679741297590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926310159097411E-2"/>
                  <c:y val="-7.167988759769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018664333624968E-3"/>
                  <c:y val="-8.798160291883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128581473100108E-3"/>
                  <c:y val="-5.4265871655771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18201613687178E-2"/>
                  <c:y val="-1.9248352469873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3289984"/>
        <c:axId val="83291520"/>
        <c:axId val="0"/>
      </c:bar3DChart>
      <c:catAx>
        <c:axId val="83289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  <c:crossAx val="83291520"/>
        <c:crosses val="autoZero"/>
        <c:auto val="1"/>
        <c:lblAlgn val="ctr"/>
        <c:lblOffset val="100"/>
        <c:noMultiLvlLbl val="0"/>
      </c:catAx>
      <c:valAx>
        <c:axId val="8329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  <c:crossAx val="8328998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групп показателей по итогам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2021 года, баллы</a:t>
            </a:r>
            <a:endParaRPr lang="ru-RU"/>
          </a:p>
        </c:rich>
      </c:tx>
      <c:layout>
        <c:manualLayout>
          <c:xMode val="edge"/>
          <c:yMode val="edge"/>
          <c:x val="0.1455476985916506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993874968396703E-2"/>
          <c:y val="0.15411194549322277"/>
          <c:w val="0.7034457574362426"/>
          <c:h val="0.34940944881889763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по группам показателей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x"/>
            <c:size val="9"/>
            <c:spPr>
              <a:ln w="12700"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4995575251282725E-2"/>
                  <c:y val="-3.6282500820210006E-2"/>
                </c:manualLayout>
              </c:layout>
              <c:tx>
                <c:rich>
                  <a:bodyPr/>
                  <a:lstStyle/>
                  <a:p>
                    <a:pPr>
                      <a:defRPr b="1" i="0">
                        <a:solidFill>
                          <a:sysClr val="windowText" lastClr="000000"/>
                        </a:solidFill>
                        <a:latin typeface="Calibri"/>
                      </a:defRPr>
                    </a:pPr>
                    <a:r>
                      <a:rPr lang="ru-RU"/>
                      <a:t>88</a:t>
                    </a:r>
                    <a:r>
                      <a:rPr lang="en-US"/>
                      <a:t>,4</a:t>
                    </a:r>
                  </a:p>
                </c:rich>
              </c:tx>
              <c:numFmt formatCode="#,##0.0" sourceLinked="0"/>
              <c:spPr>
                <a:noFill/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079916734546112E-2"/>
                  <c:y val="-4.1046895505249342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651857149647041E-2"/>
                  <c:y val="-2.270366838910761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99562554680672E-2"/>
                  <c:y val="-4.722121322193973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44201419267036E-3"/>
                  <c:y val="1.089720305121685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1" i="0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effectLst/>
            </c:spPr>
            <c:txPr>
              <a:bodyPr/>
              <a:lstStyle/>
              <a:p>
                <a:pPr>
                  <a:defRPr b="1" i="0">
                    <a:solidFill>
                      <a:srgbClr val="C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1. Оценка качества управления расходами бюджета</c:v>
                </c:pt>
                <c:pt idx="1">
                  <c:v>2. Оценка качества управления доходами и источниками финансирования дефицита бюджета</c:v>
                </c:pt>
                <c:pt idx="2">
                  <c:v>3. Оценка качества ведения учета и составления бюджетной отчетности</c:v>
                </c:pt>
                <c:pt idx="3">
                  <c:v>4. Оценка качества организации и осуществления внутреннего аудита </c:v>
                </c:pt>
                <c:pt idx="4">
                  <c:v>5. Оценка качества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88.4</c:v>
                </c:pt>
                <c:pt idx="1">
                  <c:v>93.7</c:v>
                </c:pt>
                <c:pt idx="2">
                  <c:v>89.9</c:v>
                </c:pt>
                <c:pt idx="3">
                  <c:v>43.3</c:v>
                </c:pt>
                <c:pt idx="4">
                  <c:v>100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3.9282891362717592E-2"/>
                  <c:y val="2.86819738353018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5.0443923776721999E-3"/>
                  <c:y val="1.5340560845399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1. Оценка качества управления расходами бюджета</c:v>
                </c:pt>
                <c:pt idx="1">
                  <c:v>2. Оценка качества управления доходами и источниками финансирования дефицита бюджета</c:v>
                </c:pt>
                <c:pt idx="2">
                  <c:v>3. Оценка качества ведения учета и составления бюджетной отчетности</c:v>
                </c:pt>
                <c:pt idx="3">
                  <c:v>4. Оценка качества организации и осуществления внутреннего аудита </c:v>
                </c:pt>
                <c:pt idx="4">
                  <c:v>5. Оценка качества управления активами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82.4</c:v>
                </c:pt>
                <c:pt idx="1">
                  <c:v>82.4</c:v>
                </c:pt>
                <c:pt idx="2">
                  <c:v>82.4</c:v>
                </c:pt>
                <c:pt idx="3">
                  <c:v>82.4</c:v>
                </c:pt>
                <c:pt idx="4">
                  <c:v>82.4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325056"/>
        <c:axId val="77326592"/>
      </c:lineChart>
      <c:catAx>
        <c:axId val="7732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77326592"/>
        <c:crosses val="autoZero"/>
        <c:auto val="0"/>
        <c:lblAlgn val="ctr"/>
        <c:lblOffset val="100"/>
        <c:noMultiLvlLbl val="0"/>
      </c:catAx>
      <c:valAx>
        <c:axId val="77326592"/>
        <c:scaling>
          <c:orientation val="minMax"/>
          <c:max val="105"/>
          <c:min val="4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77325056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0495722742906639"/>
          <c:y val="0.1814576156496063"/>
          <c:w val="0.17971264090676334"/>
          <c:h val="0.38082041502624669"/>
        </c:manualLayout>
      </c:layout>
      <c:overlay val="0"/>
      <c:txPr>
        <a:bodyPr/>
        <a:lstStyle/>
        <a:p>
          <a:pPr>
            <a:defRPr sz="1100">
              <a:latin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 по итогам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2021 год, баллы</a:t>
            </a:r>
            <a:endParaRPr lang="ru-RU"/>
          </a:p>
        </c:rich>
      </c:tx>
      <c:layout>
        <c:manualLayout>
          <c:xMode val="edge"/>
          <c:yMode val="edge"/>
          <c:x val="0.1455476985916507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3066848324373799E-2"/>
          <c:y val="8.7590575334524912E-2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2042561675762157E-2"/>
                  <c:y val="-2.9347213500152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53201490519616E-2"/>
                  <c:y val="-3.6049385697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569450087682102E-2"/>
                  <c:y val="-3.0202848493631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930619863541224E-2"/>
                  <c:y val="-3.88437354073072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072913929487238E-2"/>
                  <c:y val="-3.8267273722686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849572011823862E-2"/>
                  <c:y val="2.8194893966475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2047228989911657E-2"/>
                  <c:y val="-3.41078530827818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1858890025088701E-2"/>
                  <c:y val="-2.07119623850699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573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>
                    <a:solidFill>
                      <a:srgbClr val="C0000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99.1</c:v>
                </c:pt>
                <c:pt idx="1">
                  <c:v>69.400000000000006</c:v>
                </c:pt>
                <c:pt idx="2">
                  <c:v>75</c:v>
                </c:pt>
                <c:pt idx="3">
                  <c:v>94.3</c:v>
                </c:pt>
                <c:pt idx="4">
                  <c:v>91.7</c:v>
                </c:pt>
                <c:pt idx="5">
                  <c:v>70.599999999999994</c:v>
                </c:pt>
                <c:pt idx="6">
                  <c:v>70.7</c:v>
                </c:pt>
                <c:pt idx="7">
                  <c:v>74.099999999999994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3.851697225742428E-2"/>
                  <c:y val="-2.46298487995748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82,4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82.4</c:v>
                </c:pt>
                <c:pt idx="1">
                  <c:v>82.4</c:v>
                </c:pt>
                <c:pt idx="2">
                  <c:v>82.4</c:v>
                </c:pt>
                <c:pt idx="3">
                  <c:v>82.4</c:v>
                </c:pt>
                <c:pt idx="4">
                  <c:v>82.4</c:v>
                </c:pt>
                <c:pt idx="5">
                  <c:v>82.4</c:v>
                </c:pt>
                <c:pt idx="6">
                  <c:v>82.4</c:v>
                </c:pt>
                <c:pt idx="7">
                  <c:v>82.4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381632"/>
        <c:axId val="77383168"/>
      </c:lineChart>
      <c:catAx>
        <c:axId val="7738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77383168"/>
        <c:crosses val="autoZero"/>
        <c:auto val="0"/>
        <c:lblAlgn val="ctr"/>
        <c:lblOffset val="100"/>
        <c:noMultiLvlLbl val="0"/>
      </c:catAx>
      <c:valAx>
        <c:axId val="77383168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77381632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79698286083700498"/>
          <c:y val="0.13822701801845322"/>
          <c:w val="0.20109879629975164"/>
          <c:h val="0.27501374091331077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ГАБС, не имеющих подведомственных муниципальных учреждений, по итогам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2021 год, баллы</a:t>
            </a:r>
            <a:endParaRPr lang="ru-RU"/>
          </a:p>
        </c:rich>
      </c:tx>
      <c:layout>
        <c:manualLayout>
          <c:xMode val="edge"/>
          <c:yMode val="edge"/>
          <c:x val="0.1270329328562380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395865178353514E-2"/>
          <c:y val="0.1289854597298599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00B050"/>
              </a:solidFill>
            </a:ln>
            <a:effectLst/>
          </c:spPr>
          <c:marker>
            <c:symbol val="circle"/>
            <c:size val="9"/>
            <c:spPr>
              <a:solidFill>
                <a:srgbClr val="00B050"/>
              </a:solidFill>
              <a:ln w="12700">
                <a:solidFill>
                  <a:srgbClr val="00B05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3406597984775723E-2"/>
                  <c:y val="-1.0088328634632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974473428916692E-2"/>
                  <c:y val="-3.522806505573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255634712327626E-3"/>
                  <c:y val="-1.6602448188351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592178290081728E-2"/>
                  <c:y val="4.8242590613265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>
                    <a:solidFill>
                      <a:sysClr val="windowText" lastClr="00000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99.1</c:v>
                </c:pt>
                <c:pt idx="1">
                  <c:v>75</c:v>
                </c:pt>
                <c:pt idx="2">
                  <c:v>94.3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9324090121317239E-2"/>
                  <c:y val="-2.7368100957883532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2.9783033073246798E-2"/>
                  <c:y val="3.52180596882702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b="1"/>
                      <a:t>89,5</a:t>
                    </a:r>
                    <a:endParaRPr lang="en-US" b="1"/>
                  </a:p>
                </c:rich>
              </c:tx>
              <c:numFmt formatCode="General" sourceLinked="0"/>
            </c:trendlineLbl>
          </c:trendline>
          <c:cat>
            <c:strRef>
              <c:f>Лист1!$A$2:$A$4</c:f>
              <c:strCache>
                <c:ptCount val="3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89.5</c:v>
                </c:pt>
                <c:pt idx="1">
                  <c:v>89.5</c:v>
                </c:pt>
                <c:pt idx="2">
                  <c:v>89.5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399616"/>
        <c:axId val="82401152"/>
      </c:lineChart>
      <c:catAx>
        <c:axId val="8239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82401152"/>
        <c:crosses val="autoZero"/>
        <c:auto val="0"/>
        <c:lblAlgn val="ctr"/>
        <c:lblOffset val="100"/>
        <c:noMultiLvlLbl val="0"/>
      </c:catAx>
      <c:valAx>
        <c:axId val="82401152"/>
        <c:scaling>
          <c:orientation val="minMax"/>
          <c:max val="105"/>
          <c:min val="7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82399616"/>
        <c:crosses val="autoZero"/>
        <c:crossBetween val="between"/>
        <c:majorUnit val="10"/>
      </c:valAx>
      <c:spPr>
        <a:solidFill>
          <a:schemeClr val="bg1"/>
        </a:solidFill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668447404782094"/>
          <c:y val="0.20045561500138023"/>
          <c:w val="0.21331559745508002"/>
          <c:h val="9.5608790132206342E-2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в разрезе ГАБС, имеющих в подведомственности муниципальные учреждения, по итогам за 2021 год (баллы)</a:t>
            </a:r>
            <a:endParaRPr lang="ru-RU"/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435016891240974E-2"/>
          <c:y val="0.169362403938341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41275"/>
          </c:spPr>
          <c:marker>
            <c:spPr>
              <a:ln w="12700"/>
            </c:spPr>
          </c:marker>
          <c:dLbls>
            <c:dLbl>
              <c:idx val="0"/>
              <c:layout>
                <c:manualLayout>
                  <c:x val="-6.6963389158236755E-2"/>
                  <c:y val="5.85110500586425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5316469587643E-2"/>
                  <c:y val="-3.74792049157461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303962875720677E-2"/>
                  <c:y val="4.0697750844583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69.400000000000006</c:v>
                </c:pt>
                <c:pt idx="1">
                  <c:v>91.7</c:v>
                </c:pt>
                <c:pt idx="2">
                  <c:v>70.599999999999994</c:v>
                </c:pt>
                <c:pt idx="3">
                  <c:v>70.7</c:v>
                </c:pt>
                <c:pt idx="4">
                  <c:v>74.099999999999994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spPr>
            <a:ln w="38100"/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0.38415742046586787"/>
                  <c:y val="2.7870111964365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75.3</c:v>
                </c:pt>
                <c:pt idx="1">
                  <c:v>75.3</c:v>
                </c:pt>
                <c:pt idx="2">
                  <c:v>75.3</c:v>
                </c:pt>
                <c:pt idx="3">
                  <c:v>75.3</c:v>
                </c:pt>
                <c:pt idx="4">
                  <c:v>75.3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457344"/>
        <c:axId val="82458880"/>
      </c:lineChart>
      <c:catAx>
        <c:axId val="82457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82458880"/>
        <c:crosses val="autoZero"/>
        <c:auto val="0"/>
        <c:lblAlgn val="ctr"/>
        <c:lblOffset val="100"/>
        <c:noMultiLvlLbl val="0"/>
      </c:catAx>
      <c:valAx>
        <c:axId val="82458880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crossAx val="82457344"/>
        <c:crosses val="autoZero"/>
        <c:crossBetween val="between"/>
        <c:majorUnit val="10"/>
      </c:valAx>
      <c:spPr>
        <a:ln>
          <a:prstDash val="lgDashDot"/>
        </a:ln>
      </c:spPr>
    </c:plotArea>
    <c:legend>
      <c:legendPos val="r"/>
      <c:layout>
        <c:manualLayout>
          <c:xMode val="edge"/>
          <c:yMode val="edge"/>
          <c:x val="0.79890126875166656"/>
          <c:y val="0.22188080217808617"/>
          <c:w val="0.20109879629975164"/>
          <c:h val="0.23552450838019173"/>
        </c:manualLayout>
      </c:layout>
      <c:overlay val="0"/>
      <c:txPr>
        <a:bodyPr/>
        <a:lstStyle/>
        <a:p>
          <a:pPr>
            <a:defRPr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605482022531518E-2"/>
          <c:y val="7.0987404886000249E-2"/>
          <c:w val="0.71343078974130725"/>
          <c:h val="0.8248964104952436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8.1801210785999914E-3"/>
                  <c:y val="1.8597610052983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95364033664576E-3"/>
                  <c:y val="-1.7713976535693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239522058964344E-3"/>
                  <c:y val="-1.51582509341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258205514951744E-2"/>
                  <c:y val="-3.904710367054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262246167054727E-2"/>
                  <c:y val="-1.39597559054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780160"/>
        <c:axId val="82781696"/>
        <c:axId val="0"/>
      </c:bar3DChart>
      <c:catAx>
        <c:axId val="82780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82781696"/>
        <c:crosses val="autoZero"/>
        <c:auto val="1"/>
        <c:lblAlgn val="ctr"/>
        <c:lblOffset val="100"/>
        <c:noMultiLvlLbl val="0"/>
      </c:catAx>
      <c:valAx>
        <c:axId val="82781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  <c:crossAx val="8278016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605482022531518E-2"/>
          <c:y val="7.0987404886000249E-2"/>
          <c:w val="0.71343078974130725"/>
          <c:h val="0.8248964104952436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8.1801503207160828E-3"/>
                  <c:y val="-4.6333019982578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95384370769328E-3"/>
                  <c:y val="-4.839488414293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239333496964336E-3"/>
                  <c:y val="-4.1455987912667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258205514951744E-2"/>
                  <c:y val="-3.9047103670544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262246167054727E-2"/>
                  <c:y val="-1.39597559054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923520"/>
        <c:axId val="82925056"/>
        <c:axId val="0"/>
      </c:bar3DChart>
      <c:catAx>
        <c:axId val="82923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82925056"/>
        <c:crosses val="autoZero"/>
        <c:auto val="1"/>
        <c:lblAlgn val="ctr"/>
        <c:lblOffset val="100"/>
        <c:noMultiLvlLbl val="0"/>
      </c:catAx>
      <c:valAx>
        <c:axId val="8292505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  <c:crossAx val="8292352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80666642736898E-2"/>
          <c:y val="9.6826073891331771E-2"/>
          <c:w val="0.7080820833912066"/>
          <c:h val="0.7891124689230755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6.2336608320391878E-3"/>
                  <c:y val="-5.856489168303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1212554407791883E-3"/>
                  <c:y val="-2.0442960830413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423121044458142E-3"/>
                  <c:y val="-5.4332021935427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124322046462997E-3"/>
                  <c:y val="-1.92454677975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172705493081943E-3"/>
                  <c:y val="-4.7230211305788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955264"/>
        <c:axId val="37884672"/>
        <c:axId val="0"/>
      </c:bar3DChart>
      <c:catAx>
        <c:axId val="82955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37884672"/>
        <c:crosses val="autoZero"/>
        <c:auto val="1"/>
        <c:lblAlgn val="ctr"/>
        <c:lblOffset val="100"/>
        <c:noMultiLvlLbl val="0"/>
      </c:catAx>
      <c:valAx>
        <c:axId val="3788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  <c:crossAx val="8295526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100">
              <a:latin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158797011086838E-2"/>
          <c:y val="7.776818630810832E-2"/>
          <c:w val="0.72554215747580364"/>
          <c:h val="0.7998884288234797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8.3134306079038697E-3"/>
                  <c:y val="-9.5623020526689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895776211856592E-2"/>
                  <c:y val="-9.3177847449919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897175898637723E-2"/>
                  <c:y val="-8.71690240847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289253049373101E-2"/>
                  <c:y val="-8.679686315806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601754896181398E-3"/>
                  <c:y val="-3.7812826588165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3236736"/>
        <c:axId val="83238272"/>
        <c:axId val="0"/>
      </c:bar3DChart>
      <c:catAx>
        <c:axId val="8323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  <c:crossAx val="83238272"/>
        <c:crosses val="autoZero"/>
        <c:auto val="1"/>
        <c:lblAlgn val="ctr"/>
        <c:lblOffset val="100"/>
        <c:noMultiLvlLbl val="0"/>
      </c:catAx>
      <c:valAx>
        <c:axId val="8323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  <c:crossAx val="8323673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/>
                <a:cs typeface="Times New Roman"/>
              </a:defRPr>
            </a:pPr>
            <a:endParaRPr lang="ru-RU"/>
          </a:p>
        </c:txPr>
      </c:legendEntry>
      <c:layout/>
      <c:overlay val="0"/>
      <c:txPr>
        <a:bodyPr/>
        <a:lstStyle/>
        <a:p>
          <a:pPr>
            <a:defRPr>
              <a:latin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 bwMode="auto"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>
            <a:defRPr/>
          </a:pPr>
          <a:r>
            <a:rPr lang="ru-RU" b="0">
              <a:solidFill>
                <a:sysClr val="windowText" lastClr="000000"/>
              </a:solidFill>
              <a:latin typeface="Times New Roman"/>
              <a:cs typeface="Times New Roman"/>
            </a:rPr>
            <a:t>диапазон оценок (баллы)</a:t>
          </a:r>
          <a:endParaRPr/>
        </a:p>
        <a:p xmlns:a="http://schemas.openxmlformats.org/drawingml/2006/main">
          <a:pPr algn="ctr">
            <a:defRPr/>
          </a:pPr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0.40754</cdr:x>
      <cdr:y>0</cdr:y>
    </cdr:from>
    <cdr:to>
      <cdr:x>0.7041</cdr:x>
      <cdr:y>0.08333</cdr:y>
    </cdr:to>
    <cdr:sp macro="" textlink="">
      <cdr:nvSpPr>
        <cdr:cNvPr id="5" name="TextBox 1"/>
        <cdr:cNvSpPr txBox="1"/>
      </cdr:nvSpPr>
      <cdr:spPr bwMode="auto">
        <a:xfrm xmlns:a="http://schemas.openxmlformats.org/drawingml/2006/main">
          <a:off x="2660073" y="0"/>
          <a:ext cx="1935676" cy="2433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just">
            <a:defRPr/>
          </a:pPr>
          <a:r>
            <a:rPr lang="ru-RU" sz="1200" b="1">
              <a:solidFill>
                <a:srgbClr val="FF0000"/>
              </a:solidFill>
              <a:latin typeface="Times New Roman"/>
              <a:cs typeface="Times New Roman"/>
            </a:rPr>
            <a:t>среднее значение 88,4</a:t>
          </a:r>
          <a:endParaRPr/>
        </a:p>
        <a:p xmlns:a="http://schemas.openxmlformats.org/drawingml/2006/main">
          <a:pPr>
            <a:defRPr/>
          </a:pPr>
          <a:endParaRPr lang="ru-RU" sz="1200" b="1">
            <a:solidFill>
              <a:srgbClr val="FF0000"/>
            </a:solidFill>
            <a:latin typeface="Times New Roman"/>
            <a:cs typeface="Times New Roman"/>
          </a:endParaRPr>
        </a:p>
      </cdr:txBody>
    </cdr:sp>
  </cdr:relSizeAnchor>
  <cdr:relSizeAnchor xmlns:cdr="http://schemas.openxmlformats.org/drawingml/2006/chartDrawing">
    <cdr:from>
      <cdr:x>0.55671</cdr:x>
      <cdr:y>0.10946</cdr:y>
    </cdr:from>
    <cdr:to>
      <cdr:x>0.55801</cdr:x>
      <cdr:y>0.98554</cdr:y>
    </cdr:to>
    <cdr:sp macro="" textlink="">
      <cdr:nvSpPr>
        <cdr:cNvPr id="10" name="Прямая соединительная линия 9"/>
        <cdr:cNvSpPr/>
      </cdr:nvSpPr>
      <cdr:spPr bwMode="auto">
        <a:xfrm xmlns:a="http://schemas.openxmlformats.org/drawingml/2006/main" flipH="1">
          <a:off x="3633739" y="319582"/>
          <a:ext cx="8485" cy="2557917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>
            <a:defRPr/>
          </a:pPr>
          <a:endParaRPr lang="ru-RU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 bwMode="auto"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>
            <a:defRPr/>
          </a:pPr>
          <a:r>
            <a:rPr lang="ru-RU" b="0">
              <a:solidFill>
                <a:sysClr val="windowText" lastClr="000000"/>
              </a:solidFill>
              <a:latin typeface="Times New Roman"/>
              <a:cs typeface="Times New Roman"/>
            </a:rPr>
            <a:t>диапазон оценок (баллы)</a:t>
          </a:r>
          <a:endParaRPr/>
        </a:p>
        <a:p xmlns:a="http://schemas.openxmlformats.org/drawingml/2006/main">
          <a:pPr algn="ctr">
            <a:defRPr/>
          </a:pPr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0.50191</cdr:x>
      <cdr:y>0</cdr:y>
    </cdr:from>
    <cdr:to>
      <cdr:x>0.79847</cdr:x>
      <cdr:y>0.08333</cdr:y>
    </cdr:to>
    <cdr:sp macro="" textlink="">
      <cdr:nvSpPr>
        <cdr:cNvPr id="5" name="TextBox 1"/>
        <cdr:cNvSpPr txBox="1"/>
      </cdr:nvSpPr>
      <cdr:spPr bwMode="auto">
        <a:xfrm xmlns:a="http://schemas.openxmlformats.org/drawingml/2006/main">
          <a:off x="3252767" y="0"/>
          <a:ext cx="1921949" cy="2415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just">
            <a:defRPr/>
          </a:pPr>
          <a:r>
            <a:rPr lang="ru-RU" sz="1200" b="1">
              <a:solidFill>
                <a:srgbClr val="FF0000"/>
              </a:solidFill>
              <a:latin typeface="Times New Roman"/>
              <a:cs typeface="Times New Roman"/>
            </a:rPr>
            <a:t>среднее значение 93,7</a:t>
          </a:r>
          <a:endParaRPr/>
        </a:p>
        <a:p xmlns:a="http://schemas.openxmlformats.org/drawingml/2006/main">
          <a:pPr>
            <a:defRPr/>
          </a:pPr>
          <a:endParaRPr lang="ru-RU" sz="1200" b="1">
            <a:solidFill>
              <a:srgbClr val="FF0000"/>
            </a:solidFill>
            <a:latin typeface="Times New Roman"/>
            <a:cs typeface="Times New Roman"/>
          </a:endParaRPr>
        </a:p>
      </cdr:txBody>
    </cdr:sp>
  </cdr:relSizeAnchor>
  <cdr:relSizeAnchor xmlns:cdr="http://schemas.openxmlformats.org/drawingml/2006/chartDrawing">
    <cdr:from>
      <cdr:x>0.61293</cdr:x>
      <cdr:y>0.08693</cdr:y>
    </cdr:from>
    <cdr:to>
      <cdr:x>0.61481</cdr:x>
      <cdr:y>0.91561</cdr:y>
    </cdr:to>
    <cdr:sp macro="" textlink="">
      <cdr:nvSpPr>
        <cdr:cNvPr id="10" name="Прямая соединительная линия 9"/>
        <cdr:cNvSpPr/>
      </cdr:nvSpPr>
      <cdr:spPr bwMode="auto">
        <a:xfrm xmlns:a="http://schemas.openxmlformats.org/drawingml/2006/main" flipH="1">
          <a:off x="3972295" y="251986"/>
          <a:ext cx="12195" cy="2402150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>
            <a:defRPr/>
          </a:pPr>
          <a:endParaRPr lang="ru-RU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 bwMode="auto">
        <a:xfrm xmlns:a="http://schemas.openxmlformats.org/drawingml/2006/main">
          <a:off x="4488401" y="2369642"/>
          <a:ext cx="1916955" cy="24366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>
            <a:defRPr/>
          </a:pPr>
          <a:r>
            <a:rPr lang="ru-RU" b="0">
              <a:solidFill>
                <a:sysClr val="windowText" lastClr="000000"/>
              </a:solidFill>
              <a:latin typeface="Times New Roman"/>
              <a:cs typeface="Times New Roman"/>
            </a:rPr>
            <a:t>диапазон оценок (баллы)</a:t>
          </a:r>
          <a:endParaRPr/>
        </a:p>
        <a:p xmlns:a="http://schemas.openxmlformats.org/drawingml/2006/main">
          <a:pPr algn="ctr">
            <a:defRPr/>
          </a:pPr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0.45873</cdr:x>
      <cdr:y>0</cdr:y>
    </cdr:from>
    <cdr:to>
      <cdr:x>0.72377</cdr:x>
      <cdr:y>0.08749</cdr:y>
    </cdr:to>
    <cdr:sp macro="" textlink="">
      <cdr:nvSpPr>
        <cdr:cNvPr id="5" name="TextBox 1"/>
        <cdr:cNvSpPr txBox="1"/>
      </cdr:nvSpPr>
      <cdr:spPr bwMode="auto">
        <a:xfrm xmlns:a="http://schemas.openxmlformats.org/drawingml/2006/main">
          <a:off x="2939143" y="0"/>
          <a:ext cx="1698170" cy="1900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defRPr/>
          </a:pPr>
          <a:r>
            <a:rPr lang="ru-RU" sz="1200" b="1">
              <a:solidFill>
                <a:srgbClr val="FF0000"/>
              </a:solidFill>
              <a:latin typeface="Times New Roman"/>
              <a:cs typeface="Times New Roman"/>
            </a:rPr>
            <a:t>среднее значение 89,9</a:t>
          </a:r>
          <a:endParaRPr/>
        </a:p>
      </cdr:txBody>
    </cdr:sp>
  </cdr:relSizeAnchor>
  <cdr:relSizeAnchor xmlns:cdr="http://schemas.openxmlformats.org/drawingml/2006/chartDrawing">
    <cdr:from>
      <cdr:x>0.56606</cdr:x>
      <cdr:y>0.05902</cdr:y>
    </cdr:from>
    <cdr:to>
      <cdr:x>0.56836</cdr:x>
      <cdr:y>0.90556</cdr:y>
    </cdr:to>
    <cdr:sp macro="" textlink="">
      <cdr:nvSpPr>
        <cdr:cNvPr id="10" name="Прямая соединительная линия 9"/>
        <cdr:cNvSpPr/>
      </cdr:nvSpPr>
      <cdr:spPr bwMode="auto">
        <a:xfrm xmlns:a="http://schemas.openxmlformats.org/drawingml/2006/main" flipH="1">
          <a:off x="3626853" y="128182"/>
          <a:ext cx="14737" cy="1838431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>
            <a:defRPr/>
          </a:pPr>
          <a:endParaRPr lang="ru-RU" b="1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 bwMode="auto"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>
            <a:defRPr/>
          </a:pPr>
          <a:r>
            <a:rPr lang="ru-RU" b="0">
              <a:solidFill>
                <a:sysClr val="windowText" lastClr="000000"/>
              </a:solidFill>
              <a:latin typeface="Times New Roman"/>
              <a:cs typeface="Times New Roman"/>
            </a:rPr>
            <a:t>диапазон оценок (баллы)</a:t>
          </a:r>
          <a:endParaRPr/>
        </a:p>
        <a:p xmlns:a="http://schemas.openxmlformats.org/drawingml/2006/main">
          <a:pPr algn="ctr">
            <a:defRPr/>
          </a:pPr>
          <a:endParaRPr lang="ru-RU" b="1">
            <a:solidFill>
              <a:schemeClr val="tx2"/>
            </a:solidFill>
            <a:latin typeface="Times New Roman"/>
            <a:cs typeface="Times New Roman"/>
          </a:endParaRPr>
        </a:p>
      </cdr:txBody>
    </cdr:sp>
  </cdr:relSizeAnchor>
  <cdr:relSizeAnchor xmlns:cdr="http://schemas.openxmlformats.org/drawingml/2006/chartDrawing">
    <cdr:from>
      <cdr:x>0.03417</cdr:x>
      <cdr:y>0</cdr:y>
    </cdr:from>
    <cdr:to>
      <cdr:x>0.37122</cdr:x>
      <cdr:y>0.07814</cdr:y>
    </cdr:to>
    <cdr:sp macro="" textlink="">
      <cdr:nvSpPr>
        <cdr:cNvPr id="5" name="TextBox 1"/>
        <cdr:cNvSpPr txBox="1"/>
      </cdr:nvSpPr>
      <cdr:spPr bwMode="auto">
        <a:xfrm xmlns:a="http://schemas.openxmlformats.org/drawingml/2006/main">
          <a:off x="219693" y="0"/>
          <a:ext cx="2167247" cy="1958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>
            <a:defRPr/>
          </a:pPr>
          <a:r>
            <a:rPr lang="ru-RU" sz="1200" b="1">
              <a:solidFill>
                <a:srgbClr val="FF0000"/>
              </a:solidFill>
              <a:latin typeface="Times New Roman"/>
              <a:cs typeface="Times New Roman"/>
            </a:rPr>
            <a:t>среднее значение 43,3</a:t>
          </a:r>
          <a:endParaRPr/>
        </a:p>
      </cdr:txBody>
    </cdr:sp>
  </cdr:relSizeAnchor>
  <cdr:relSizeAnchor xmlns:cdr="http://schemas.openxmlformats.org/drawingml/2006/chartDrawing">
    <cdr:from>
      <cdr:x>0.09625</cdr:x>
      <cdr:y>0.11086</cdr:y>
    </cdr:from>
    <cdr:to>
      <cdr:x>0.09655</cdr:x>
      <cdr:y>0.90252</cdr:y>
    </cdr:to>
    <cdr:sp macro="" textlink="">
      <cdr:nvSpPr>
        <cdr:cNvPr id="10" name="Прямая соединительная линия 9"/>
        <cdr:cNvSpPr/>
      </cdr:nvSpPr>
      <cdr:spPr bwMode="auto">
        <a:xfrm xmlns:a="http://schemas.openxmlformats.org/drawingml/2006/main">
          <a:off x="618913" y="277927"/>
          <a:ext cx="1928" cy="1984675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>
            <a:defRPr/>
          </a:pPr>
          <a:endParaRPr lang="ru-RU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1D2D-33B2-4462-A8E3-1428FF970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651F2-9FA7-4C7E-9F08-4DFDD5953C11}"/>
</file>

<file path=customXml/itemProps3.xml><?xml version="1.0" encoding="utf-8"?>
<ds:datastoreItem xmlns:ds="http://schemas.openxmlformats.org/officeDocument/2006/customXml" ds:itemID="{F713E132-4AAA-40A3-AE12-728735E2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22</Pages>
  <Words>9018</Words>
  <Characters>51409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Malceva_IU</dc:creator>
  <cp:lastModifiedBy>Губкина Марина Петровна</cp:lastModifiedBy>
  <cp:revision>64</cp:revision>
  <cp:lastPrinted>2022-07-04T06:19:00Z</cp:lastPrinted>
  <dcterms:created xsi:type="dcterms:W3CDTF">2022-07-03T19:26:00Z</dcterms:created>
  <dcterms:modified xsi:type="dcterms:W3CDTF">2022-08-04T06:09:00Z</dcterms:modified>
</cp:coreProperties>
</file>