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FD" w:rsidRDefault="00A860FD" w:rsidP="00A860FD">
      <w:pPr>
        <w:jc w:val="right"/>
        <w:rPr>
          <w:noProof/>
        </w:rPr>
      </w:pPr>
      <w:r>
        <w:rPr>
          <w:noProof/>
        </w:rPr>
        <w:tab/>
      </w:r>
      <w:r>
        <w:rPr>
          <w:noProof/>
        </w:rPr>
        <w:tab/>
      </w:r>
      <w:r>
        <w:rPr>
          <w:noProof/>
        </w:rPr>
        <w:tab/>
      </w:r>
      <w:r>
        <w:rPr>
          <w:noProof/>
        </w:rPr>
        <w:tab/>
      </w:r>
      <w:r>
        <w:rPr>
          <w:noProof/>
        </w:rPr>
        <w:tab/>
      </w:r>
      <w:r>
        <w:rPr>
          <w:noProof/>
        </w:rPr>
        <w:tab/>
      </w:r>
      <w:r>
        <w:rPr>
          <w:noProof/>
        </w:rPr>
        <w:tab/>
      </w:r>
    </w:p>
    <w:tbl>
      <w:tblPr>
        <w:tblW w:w="5000" w:type="pct"/>
        <w:tblLook w:val="04A0" w:firstRow="1" w:lastRow="0" w:firstColumn="1" w:lastColumn="0" w:noHBand="0" w:noVBand="1"/>
      </w:tblPr>
      <w:tblGrid>
        <w:gridCol w:w="595"/>
        <w:gridCol w:w="2235"/>
        <w:gridCol w:w="1955"/>
        <w:gridCol w:w="1314"/>
        <w:gridCol w:w="2093"/>
        <w:gridCol w:w="2926"/>
        <w:gridCol w:w="344"/>
        <w:gridCol w:w="227"/>
        <w:gridCol w:w="227"/>
        <w:gridCol w:w="707"/>
        <w:gridCol w:w="707"/>
        <w:gridCol w:w="642"/>
        <w:gridCol w:w="832"/>
        <w:gridCol w:w="832"/>
      </w:tblGrid>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rPr>
                <w:sz w:val="24"/>
                <w:szCs w:val="24"/>
              </w:rPr>
            </w:pPr>
            <w:bookmarkStart w:id="0" w:name="RANGE!A1:N64"/>
            <w:bookmarkEnd w:id="0"/>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1331" w:type="pct"/>
            <w:gridSpan w:val="7"/>
            <w:vMerge w:val="restart"/>
            <w:tcBorders>
              <w:top w:val="nil"/>
              <w:left w:val="nil"/>
              <w:bottom w:val="nil"/>
              <w:right w:val="nil"/>
            </w:tcBorders>
            <w:shd w:val="clear" w:color="auto" w:fill="auto"/>
            <w:vAlign w:val="center"/>
            <w:hideMark/>
          </w:tcPr>
          <w:p w:rsidR="00A860FD" w:rsidRPr="00035E54" w:rsidRDefault="00A860FD" w:rsidP="002C49C5">
            <w:pPr>
              <w:rPr>
                <w:sz w:val="24"/>
                <w:szCs w:val="24"/>
              </w:rPr>
            </w:pPr>
            <w:r w:rsidRPr="00A860FD">
              <w:rPr>
                <w:sz w:val="24"/>
                <w:szCs w:val="24"/>
              </w:rPr>
              <w:t>Приложение 1 к постановлению администрации города Югорска                  от</w:t>
            </w:r>
            <w:r w:rsidR="00035E54" w:rsidRPr="00035E54">
              <w:rPr>
                <w:sz w:val="24"/>
                <w:szCs w:val="24"/>
              </w:rPr>
              <w:t xml:space="preserve"> 28</w:t>
            </w:r>
            <w:r w:rsidRPr="00A860FD">
              <w:rPr>
                <w:sz w:val="24"/>
                <w:szCs w:val="24"/>
              </w:rPr>
              <w:t xml:space="preserve"> </w:t>
            </w:r>
            <w:r w:rsidR="002C49C5">
              <w:rPr>
                <w:sz w:val="24"/>
                <w:szCs w:val="24"/>
              </w:rPr>
              <w:t>декабря</w:t>
            </w:r>
            <w:r w:rsidRPr="00A860FD">
              <w:rPr>
                <w:sz w:val="24"/>
                <w:szCs w:val="24"/>
              </w:rPr>
              <w:t xml:space="preserve"> года № </w:t>
            </w:r>
            <w:r w:rsidR="00035E54" w:rsidRPr="00035E54">
              <w:rPr>
                <w:sz w:val="24"/>
                <w:szCs w:val="24"/>
              </w:rPr>
              <w:t>3317</w:t>
            </w: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rPr>
                <w:sz w:val="24"/>
                <w:szCs w:val="24"/>
              </w:rP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1331"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1331"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1331"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rPr>
                <w:sz w:val="24"/>
                <w:szCs w:val="24"/>
              </w:rPr>
            </w:pPr>
            <w:r w:rsidRPr="00A860FD">
              <w:rPr>
                <w:sz w:val="24"/>
                <w:szCs w:val="24"/>
              </w:rPr>
              <w:t xml:space="preserve"> </w:t>
            </w: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rPr>
                <w:sz w:val="24"/>
                <w:szCs w:val="24"/>
              </w:rP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1260" w:type="pct"/>
            <w:gridSpan w:val="6"/>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75"/>
        </w:trPr>
        <w:tc>
          <w:tcPr>
            <w:tcW w:w="5000" w:type="pct"/>
            <w:gridSpan w:val="14"/>
            <w:tcBorders>
              <w:top w:val="nil"/>
              <w:left w:val="nil"/>
              <w:bottom w:val="nil"/>
              <w:right w:val="nil"/>
            </w:tcBorders>
            <w:shd w:val="clear" w:color="auto" w:fill="auto"/>
            <w:noWrap/>
            <w:vAlign w:val="bottom"/>
            <w:hideMark/>
          </w:tcPr>
          <w:p w:rsidR="00A860FD" w:rsidRPr="00A860FD" w:rsidRDefault="00A860FD" w:rsidP="00A860FD">
            <w:pPr>
              <w:jc w:val="center"/>
              <w:rPr>
                <w:b/>
                <w:bCs/>
                <w:sz w:val="28"/>
                <w:szCs w:val="28"/>
              </w:rPr>
            </w:pPr>
            <w:r w:rsidRPr="00A860FD">
              <w:rPr>
                <w:b/>
                <w:bCs/>
                <w:sz w:val="28"/>
                <w:szCs w:val="28"/>
              </w:rPr>
              <w:t>План мероприятий по росту доходов, оптимизации расходов бюджета города Югорска</w:t>
            </w:r>
          </w:p>
        </w:tc>
      </w:tr>
      <w:tr w:rsidR="00A860FD" w:rsidRPr="00A860FD" w:rsidTr="00A860FD">
        <w:trPr>
          <w:trHeight w:val="375"/>
        </w:trPr>
        <w:tc>
          <w:tcPr>
            <w:tcW w:w="5000" w:type="pct"/>
            <w:gridSpan w:val="14"/>
            <w:tcBorders>
              <w:top w:val="nil"/>
              <w:left w:val="nil"/>
              <w:bottom w:val="nil"/>
              <w:right w:val="nil"/>
            </w:tcBorders>
            <w:shd w:val="clear" w:color="auto" w:fill="auto"/>
            <w:noWrap/>
            <w:vAlign w:val="bottom"/>
            <w:hideMark/>
          </w:tcPr>
          <w:p w:rsidR="00A860FD" w:rsidRPr="00A860FD" w:rsidRDefault="00A860FD" w:rsidP="002C49C5">
            <w:pPr>
              <w:jc w:val="center"/>
              <w:rPr>
                <w:b/>
                <w:bCs/>
                <w:sz w:val="28"/>
                <w:szCs w:val="28"/>
              </w:rPr>
            </w:pPr>
            <w:r w:rsidRPr="00A860FD">
              <w:rPr>
                <w:b/>
                <w:bCs/>
                <w:sz w:val="28"/>
                <w:szCs w:val="28"/>
              </w:rPr>
              <w:t>и сокращению муниципального долга на 201</w:t>
            </w:r>
            <w:r w:rsidR="002C49C5">
              <w:rPr>
                <w:b/>
                <w:bCs/>
                <w:sz w:val="28"/>
                <w:szCs w:val="28"/>
              </w:rPr>
              <w:t>8</w:t>
            </w:r>
            <w:r w:rsidRPr="00A860FD">
              <w:rPr>
                <w:b/>
                <w:bCs/>
                <w:sz w:val="28"/>
                <w:szCs w:val="28"/>
              </w:rPr>
              <w:t xml:space="preserve"> год и на плановый период 201</w:t>
            </w:r>
            <w:r w:rsidR="002C49C5">
              <w:rPr>
                <w:b/>
                <w:bCs/>
                <w:sz w:val="28"/>
                <w:szCs w:val="28"/>
              </w:rPr>
              <w:t>9</w:t>
            </w:r>
            <w:r w:rsidRPr="00A860FD">
              <w:rPr>
                <w:b/>
                <w:bCs/>
                <w:sz w:val="28"/>
                <w:szCs w:val="28"/>
              </w:rPr>
              <w:t xml:space="preserve"> и 20</w:t>
            </w:r>
            <w:r w:rsidR="002C49C5">
              <w:rPr>
                <w:b/>
                <w:bCs/>
                <w:sz w:val="28"/>
                <w:szCs w:val="28"/>
              </w:rPr>
              <w:t>21</w:t>
            </w:r>
            <w:bookmarkStart w:id="1" w:name="_GoBack"/>
            <w:bookmarkEnd w:id="1"/>
            <w:r w:rsidRPr="00A860FD">
              <w:rPr>
                <w:b/>
                <w:bCs/>
                <w:sz w:val="28"/>
                <w:szCs w:val="28"/>
              </w:rPr>
              <w:t xml:space="preserve"> годов </w:t>
            </w: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rPr>
                <w:b/>
                <w:bCs/>
                <w:sz w:val="28"/>
                <w:szCs w:val="28"/>
              </w:rP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1163"/>
        </w:trPr>
        <w:tc>
          <w:tcPr>
            <w:tcW w:w="1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 п/п</w:t>
            </w:r>
          </w:p>
        </w:tc>
        <w:tc>
          <w:tcPr>
            <w:tcW w:w="7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Наименование мероприятия</w:t>
            </w:r>
          </w:p>
        </w:tc>
        <w:tc>
          <w:tcPr>
            <w:tcW w:w="6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Ответственный исполнитель</w:t>
            </w:r>
          </w:p>
        </w:tc>
        <w:tc>
          <w:tcPr>
            <w:tcW w:w="4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Срок исполнения</w:t>
            </w:r>
          </w:p>
        </w:tc>
        <w:tc>
          <w:tcPr>
            <w:tcW w:w="6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 xml:space="preserve">Проект нормативного правового акта или иной документ </w:t>
            </w:r>
          </w:p>
        </w:tc>
        <w:tc>
          <w:tcPr>
            <w:tcW w:w="9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Целевой показатель</w:t>
            </w:r>
          </w:p>
        </w:tc>
        <w:tc>
          <w:tcPr>
            <w:tcW w:w="711" w:type="pct"/>
            <w:gridSpan w:val="5"/>
            <w:tcBorders>
              <w:top w:val="single" w:sz="4" w:space="0" w:color="auto"/>
              <w:left w:val="nil"/>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Значение целевого показателя</w:t>
            </w:r>
          </w:p>
        </w:tc>
        <w:tc>
          <w:tcPr>
            <w:tcW w:w="737" w:type="pct"/>
            <w:gridSpan w:val="3"/>
            <w:tcBorders>
              <w:top w:val="single" w:sz="4" w:space="0" w:color="auto"/>
              <w:left w:val="nil"/>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Бюджетный  эффект от реализации мероприятий                                                    (тыс. рублей)</w:t>
            </w:r>
          </w:p>
        </w:tc>
      </w:tr>
      <w:tr w:rsidR="00A860FD" w:rsidRPr="00A860FD" w:rsidTr="00752DA8">
        <w:trPr>
          <w:trHeight w:val="315"/>
        </w:trPr>
        <w:tc>
          <w:tcPr>
            <w:tcW w:w="191"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625"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935"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259" w:type="pct"/>
            <w:gridSpan w:val="3"/>
            <w:tcBorders>
              <w:top w:val="single" w:sz="4" w:space="0" w:color="auto"/>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2017 год</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2018 год</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2019 год</w:t>
            </w:r>
          </w:p>
        </w:tc>
        <w:tc>
          <w:tcPr>
            <w:tcW w:w="20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2017 год</w:t>
            </w:r>
          </w:p>
        </w:tc>
        <w:tc>
          <w:tcPr>
            <w:tcW w:w="26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2018 год</w:t>
            </w:r>
          </w:p>
        </w:tc>
        <w:tc>
          <w:tcPr>
            <w:tcW w:w="26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2019 год</w:t>
            </w:r>
          </w:p>
        </w:tc>
      </w:tr>
      <w:tr w:rsidR="00A860FD" w:rsidRPr="00A860FD" w:rsidTr="00A860FD">
        <w:trPr>
          <w:trHeight w:val="600"/>
        </w:trPr>
        <w:tc>
          <w:tcPr>
            <w:tcW w:w="5000" w:type="pct"/>
            <w:gridSpan w:val="14"/>
            <w:tcBorders>
              <w:top w:val="single" w:sz="4" w:space="0" w:color="auto"/>
              <w:left w:val="single" w:sz="4" w:space="0" w:color="auto"/>
              <w:bottom w:val="single" w:sz="4" w:space="0" w:color="auto"/>
              <w:right w:val="nil"/>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 Мероприятия по росту доходов бюджета муниципального образования город Югорск</w:t>
            </w:r>
          </w:p>
        </w:tc>
      </w:tr>
      <w:tr w:rsidR="00A860FD" w:rsidRPr="00A860FD" w:rsidTr="00752DA8">
        <w:trPr>
          <w:trHeight w:val="189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Пересмотреть налоговые ставки по земельному налогу в сторону увеличения по отдельным видам разрешенного использования земель</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экономической политики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решение Думы города Югорска от 22.11.2004 № 648"О земельном налоге"</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увеличение поступлений земельного налога по отдельным видам разрешенного использования земель, %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350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w:t>
            </w:r>
          </w:p>
        </w:tc>
      </w:tr>
      <w:tr w:rsidR="00A860FD" w:rsidRPr="00A860FD" w:rsidTr="00752DA8">
        <w:trPr>
          <w:trHeight w:val="189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1.2.</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Пересмотреть налоговые льготы по земельному налогу в сторону снижения по отдельным категориям налогоплательщиков</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экономической политики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решение Думы города Югорска от 22.11.2004 № 648"О земельном налоге"</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увеличение поступлений к предыдущему периоду земельного налога,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r>
      <w:tr w:rsidR="00A860FD" w:rsidRPr="00A860FD" w:rsidTr="00752DA8">
        <w:trPr>
          <w:trHeight w:val="220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Внести изменения в прогнозный перечень муниципального имущества, предназначенного к приватизации в 2017 году и в плановом периоде 2018 и 2019 годов</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августа</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прогнозный перечень имущества, подлежащего приватизации в 2017-2019 годах»</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стоимости имущества, планируемого к внесению в Перечень, к стоимости имущества, фактически включенного в Перечень,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r>
      <w:tr w:rsidR="00A860FD" w:rsidRPr="00A860FD" w:rsidTr="00752DA8">
        <w:trPr>
          <w:trHeight w:val="315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1.4.</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Ежегодная индексация размера арендной платы за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ежегодно до 11 декабря, предыдущего года </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отношение дополнительно поступивших доходов  в бюджет города Югорска в виде арендной платы за пользование земельными участками к плановому показателю по доходам  в виде арендной платы за пользование земельными участками, %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1 100,0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1 000,0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900,0</w:t>
            </w:r>
          </w:p>
        </w:tc>
      </w:tr>
      <w:tr w:rsidR="00A860FD" w:rsidRPr="00A860FD" w:rsidTr="00752DA8">
        <w:trPr>
          <w:trHeight w:val="763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Предусмотреть возможность перечисления в бюджет города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не менее 25%</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 xml:space="preserve"> ежегодно до 1 июня   </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постановления администрации города «О размере прибыли муниципального унитарного предприятия, подлежащей перечислению в бюджет города Югорска»</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дополнительно поступивших в бюджет доходов в виде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(ЧПМУПдоп) к плановому показателю доходов в виде части прибыли муниципальных унитарных предприятий, утвержденному решением о бюджете города на соответствующий год (ЧПМУП план), ЧПМУПдоп/ЧПМУПплан*100%,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r>
      <w:tr w:rsidR="00A860FD" w:rsidRPr="00A860FD" w:rsidTr="00752DA8">
        <w:trPr>
          <w:trHeight w:val="529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1.6.</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Исходить из необходимости направления акционерными обществами, акции которых находятся в муниципальной собственности, дивидендов не менее 35%</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 xml:space="preserve">ежегодно до 1 июня </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Решения общих собраний акционеров по итогам финансово-хозяйственной деятельности акционерного общества</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дополнительно поступивших в бюджет доходов в виде дивидендов акционерных обществ, акции которых находятся в муниципальной собственности города Югорска (ДАОдоп) к плановому показателю по доходам в виде дивидендов акционерных обществ, утвержденному решением о бюджете города на соответствующий год (ДАОплан), ДАОдоп/ДАОплан*100%,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r>
      <w:tr w:rsidR="00A860FD" w:rsidRPr="00A860FD" w:rsidTr="00752DA8">
        <w:trPr>
          <w:trHeight w:val="220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1.7.</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Проведение мероприятий, направленных:</w:t>
            </w:r>
            <w:r w:rsidRPr="00A860FD">
              <w:rPr>
                <w:sz w:val="24"/>
                <w:szCs w:val="24"/>
              </w:rPr>
              <w:br/>
              <w:t>-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r w:rsidRPr="00A860FD">
              <w:rPr>
                <w:sz w:val="24"/>
                <w:szCs w:val="24"/>
              </w:rPr>
              <w:br/>
              <w:t>- на совершенствование механизмов поддержки предпринимательства в целях поступления в запланированных объемах налогов на совокупный доход</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экономической политики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Увеличение поступлений по налогам на совокупный доход,%</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950</w:t>
            </w:r>
          </w:p>
        </w:tc>
      </w:tr>
      <w:tr w:rsidR="00A860FD" w:rsidRPr="00A860FD" w:rsidTr="00752DA8">
        <w:trPr>
          <w:trHeight w:val="315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1.8.</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Продажа (выкуп) жилых помещений, занимаемых по договорам найма жилищного фонда коммерческого использования</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r w:rsidRPr="00A860FD">
              <w:rPr>
                <w:sz w:val="24"/>
                <w:szCs w:val="24"/>
              </w:rPr>
              <w:br/>
              <w:t>Управление жилищной политики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Решение Думы города Югорска от 26.02.2015 № 8 "Об утверждении Положения о порядке продажи (выкупа) жилых помещений муниципального жилищного фонда" (с изменениями от 24.11.2016 № 104)</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Количество жилых помещений, предполагаемых к выкупу, единиц</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6 000,0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6000,0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6000,0</w:t>
            </w:r>
          </w:p>
        </w:tc>
      </w:tr>
      <w:tr w:rsidR="00A860FD" w:rsidRPr="00A860FD" w:rsidTr="00752DA8">
        <w:trPr>
          <w:trHeight w:val="351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1.9.</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Соотношение дополнительно поступивших доходов г. Югорска в виде земельного налога с физических лиц и налога на имущество физических лиц к плановому показателю в виде земельного налога с физических лиц и налога на имущество физических лиц,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1,16</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246,0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752DA8">
        <w:trPr>
          <w:trHeight w:val="264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1.10.</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Выявление объектов недвижимого имущества, которые признаются объектами налогообложения, в отношении которых налоговая база определяется как кадастровая стоимость, не включенных в перечень</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r w:rsidRPr="00A860FD">
              <w:rPr>
                <w:sz w:val="24"/>
                <w:szCs w:val="24"/>
              </w:rPr>
              <w:br/>
              <w:t>Управление экономической политики администрации города Югорска</w:t>
            </w:r>
            <w:r w:rsidRPr="00A860FD">
              <w:rPr>
                <w:sz w:val="24"/>
                <w:szCs w:val="24"/>
              </w:rPr>
              <w:br/>
              <w:t>Департамент финансов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Соотношение дополнительно поступивших доходов г. Югорска в виде налога на имущество физических лиц к плановому показателю в виде налога на имущество физических лиц,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r>
      <w:tr w:rsidR="00A860FD" w:rsidRPr="00A860FD" w:rsidTr="00752DA8">
        <w:trPr>
          <w:trHeight w:val="135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1.11.</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Мероприятия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(согласно Приложению 2 к постановлению)</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дополнительные поступления доходов в бюджет города Югорска по результатам проведенных мероприятий</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14 500,0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15500,0</w:t>
            </w:r>
          </w:p>
        </w:tc>
      </w:tr>
      <w:tr w:rsidR="00A860FD" w:rsidRPr="00A860FD" w:rsidTr="00752DA8">
        <w:trPr>
          <w:trHeight w:val="1260"/>
        </w:trPr>
        <w:tc>
          <w:tcPr>
            <w:tcW w:w="194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Итого</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доля дополнительных доходов от суммы налоговых и неналоговых доходов бюджета города,%</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24 652,0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24 506,0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24 956,0</w:t>
            </w:r>
          </w:p>
        </w:tc>
      </w:tr>
      <w:tr w:rsidR="00A860FD" w:rsidRPr="00A860FD" w:rsidTr="00A860FD">
        <w:trPr>
          <w:trHeight w:val="645"/>
        </w:trPr>
        <w:tc>
          <w:tcPr>
            <w:tcW w:w="5000" w:type="pct"/>
            <w:gridSpan w:val="1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 Мероприятия по оптимизации расходов бюджета муниципального образования</w:t>
            </w:r>
          </w:p>
        </w:tc>
      </w:tr>
      <w:tr w:rsidR="00A860FD" w:rsidRPr="00A860FD" w:rsidTr="00752DA8">
        <w:trPr>
          <w:trHeight w:val="537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2.1.</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Реструктуризация бюджетной сети, включая изменение типа существующих муниципальных учреждений, перепрофилирование, ликвидация учреждений, присоединение отдельных учреждений к другим учреждениям</w:t>
            </w:r>
          </w:p>
        </w:tc>
        <w:tc>
          <w:tcPr>
            <w:tcW w:w="625" w:type="pct"/>
            <w:tcBorders>
              <w:top w:val="nil"/>
              <w:left w:val="nil"/>
              <w:bottom w:val="single" w:sz="4" w:space="0" w:color="auto"/>
              <w:right w:val="single" w:sz="4" w:space="0" w:color="auto"/>
            </w:tcBorders>
            <w:shd w:val="clear" w:color="auto" w:fill="auto"/>
            <w:hideMark/>
          </w:tcPr>
          <w:p w:rsidR="00A860FD" w:rsidRPr="00A860FD" w:rsidRDefault="00A860FD" w:rsidP="00A860FD">
            <w:pPr>
              <w:rPr>
                <w:color w:val="000000"/>
                <w:sz w:val="24"/>
                <w:szCs w:val="24"/>
              </w:rPr>
            </w:pPr>
            <w:r w:rsidRPr="00A860FD">
              <w:rPr>
                <w:color w:val="000000"/>
                <w:sz w:val="24"/>
                <w:szCs w:val="24"/>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количества муниципальных учреждений, подлежащих реорганизации, к общему количеству муниципальных учреждений,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8</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8</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1 224,0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752DA8">
        <w:trPr>
          <w:trHeight w:val="1125"/>
        </w:trPr>
        <w:tc>
          <w:tcPr>
            <w:tcW w:w="19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2.2.</w:t>
            </w:r>
          </w:p>
        </w:tc>
        <w:tc>
          <w:tcPr>
            <w:tcW w:w="714" w:type="pct"/>
            <w:tcBorders>
              <w:top w:val="nil"/>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Сокращение  расходов на содержание органов местного самоуправления и на финансовое обеспечение муниципального задания  муниципальных учреждений города Югорска, в том числе за счет:</w:t>
            </w:r>
          </w:p>
        </w:tc>
        <w:tc>
          <w:tcPr>
            <w:tcW w:w="62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42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3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59"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0,2</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0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2 000,0</w:t>
            </w:r>
          </w:p>
        </w:tc>
        <w:tc>
          <w:tcPr>
            <w:tcW w:w="26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2 000,0</w:t>
            </w:r>
          </w:p>
        </w:tc>
      </w:tr>
      <w:tr w:rsidR="00A860FD" w:rsidRPr="00A860FD" w:rsidTr="00752DA8">
        <w:trPr>
          <w:trHeight w:val="99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 xml:space="preserve">а) оптимизации расходов на оплату труда работников органов местного самоуправления и муниципальных учреждений, в том числе за счет: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58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 xml:space="preserve"> - оптимизации штатной численности работников;</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72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 xml:space="preserve">- оптимизации расходов на  административно-управленческий и вспомогательный персонал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76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nil"/>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 сокращения количества календарных дней основных и дополнительных отпусков органов местного самоуправления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139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применения системы критериев оценки и показателей эффективности деятельности муниципальных учреждений при установлении стимулирующих выплат работникам;</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58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б) реализации энергосберегающих мероприятий;</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70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в) повышения эффективности расходов на содержание учреждений, использования зданий, находящихся в оперативном управлении;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90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г) сокращение расходов на приобрение сувенирной продукции, на служебные командировки</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885"/>
        </w:trPr>
        <w:tc>
          <w:tcPr>
            <w:tcW w:w="19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2.3.</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Повышение  эффективности муниципальных закупок и оптимизация расходов капитального характера, в том числе за счет:</w:t>
            </w:r>
          </w:p>
        </w:tc>
        <w:tc>
          <w:tcPr>
            <w:tcW w:w="625" w:type="pct"/>
            <w:vMerge w:val="restart"/>
            <w:tcBorders>
              <w:top w:val="nil"/>
              <w:left w:val="single" w:sz="4" w:space="0" w:color="auto"/>
              <w:bottom w:val="single" w:sz="4" w:space="0" w:color="000000"/>
              <w:right w:val="single" w:sz="4" w:space="0" w:color="auto"/>
            </w:tcBorders>
            <w:shd w:val="clear" w:color="000000" w:fill="FFFFFF"/>
            <w:hideMark/>
          </w:tcPr>
          <w:p w:rsidR="00A860FD" w:rsidRPr="00A860FD" w:rsidRDefault="00A860FD" w:rsidP="00A860FD">
            <w:pPr>
              <w:jc w:val="center"/>
              <w:rPr>
                <w:sz w:val="24"/>
                <w:szCs w:val="24"/>
              </w:rPr>
            </w:pPr>
            <w:r w:rsidRPr="00A860FD">
              <w:rPr>
                <w:sz w:val="24"/>
                <w:szCs w:val="24"/>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42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35" w:type="pct"/>
            <w:vMerge w:val="restart"/>
            <w:tcBorders>
              <w:top w:val="nil"/>
              <w:left w:val="single" w:sz="4" w:space="0" w:color="auto"/>
              <w:bottom w:val="single" w:sz="4" w:space="0" w:color="000000"/>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59"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1,1</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1,1</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1,1</w:t>
            </w:r>
          </w:p>
        </w:tc>
        <w:tc>
          <w:tcPr>
            <w:tcW w:w="20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c>
          <w:tcPr>
            <w:tcW w:w="26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c>
          <w:tcPr>
            <w:tcW w:w="26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r>
      <w:tr w:rsidR="00A860FD" w:rsidRPr="00A860FD" w:rsidTr="00752DA8">
        <w:trPr>
          <w:trHeight w:val="84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а) обоснованности закупок, начальных (максимальных) цен контрактов, комплектности приобретения товара, его технических характеристик;</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82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б) стремления к экономии в ходе закупочных процедур при условии соблюдения качества и требований законодательства;</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133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в) первоочередного направления средств на завершение строительства (реконструкцию) объектов капитального строительства, на капитальные затраты, способствующие снижению текущих затрат в среднесрочной перспективе;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205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г) сокращения случаев авансирования капитальных расходов  </w:t>
            </w:r>
          </w:p>
        </w:tc>
        <w:tc>
          <w:tcPr>
            <w:tcW w:w="62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3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5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752DA8">
        <w:trPr>
          <w:trHeight w:val="1065"/>
        </w:trPr>
        <w:tc>
          <w:tcPr>
            <w:tcW w:w="19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w:t>
            </w:r>
          </w:p>
        </w:tc>
        <w:tc>
          <w:tcPr>
            <w:tcW w:w="714" w:type="pct"/>
            <w:vMerge w:val="restart"/>
            <w:tcBorders>
              <w:top w:val="nil"/>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Привлечение средств от приносящей доход деятельности на обеспечение текущей деятельности бюджетных и автономных учреждений города Югорска</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образования администрации города Югорска</w:t>
            </w:r>
          </w:p>
        </w:tc>
        <w:tc>
          <w:tcPr>
            <w:tcW w:w="42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Проекты постановлений администрации города Югорска о внесении изменений в соответствующие муниципальные программы города Югорска</w:t>
            </w:r>
          </w:p>
        </w:tc>
        <w:tc>
          <w:tcPr>
            <w:tcW w:w="935"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0,1</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r>
      <w:tr w:rsidR="00A860FD" w:rsidRPr="00A860FD" w:rsidTr="00752DA8">
        <w:trPr>
          <w:trHeight w:val="78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культуры администрации города Югорска</w:t>
            </w: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35"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r>
      <w:tr w:rsidR="00A860FD" w:rsidRPr="00A860FD" w:rsidTr="00752DA8">
        <w:trPr>
          <w:trHeight w:val="1110"/>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Департамент муниципальной собственности и градостроительства администрации города Югорска</w:t>
            </w: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35"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r>
      <w:tr w:rsidR="00A860FD" w:rsidRPr="00A860FD" w:rsidTr="00752DA8">
        <w:trPr>
          <w:trHeight w:val="735"/>
        </w:trPr>
        <w:tc>
          <w:tcPr>
            <w:tcW w:w="19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4"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социальной политики администрации города Югорска</w:t>
            </w:r>
          </w:p>
        </w:tc>
        <w:tc>
          <w:tcPr>
            <w:tcW w:w="42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35"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200,0</w:t>
            </w:r>
          </w:p>
        </w:tc>
      </w:tr>
      <w:tr w:rsidR="00A860FD" w:rsidRPr="00A860FD" w:rsidTr="00752DA8">
        <w:trPr>
          <w:trHeight w:val="390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2.5.</w:t>
            </w:r>
          </w:p>
        </w:tc>
        <w:tc>
          <w:tcPr>
            <w:tcW w:w="714"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 xml:space="preserve">Предоставление через  МАУ "Многофункциональный центр предоставления государственных и муниципальных услуг" муниципальных услуг </w:t>
            </w:r>
          </w:p>
        </w:tc>
        <w:tc>
          <w:tcPr>
            <w:tcW w:w="62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Управление экономической политики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Распоряжение администрации города Югорска от 06.07.2012          № 430 "Об утверждении перечня муниципальных услуг, предоставление которых организуется в многомункциональном центре предоставления государственных и муниципалных услуг"</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количество предоставляемых услуг,ед</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900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950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r>
      <w:tr w:rsidR="00A860FD" w:rsidRPr="00A860FD" w:rsidTr="00752DA8">
        <w:trPr>
          <w:trHeight w:val="4260"/>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2.6.</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Реализация плана мероприятий (дорожная карта) по поддержке доступа негосударственных организаций (коммерческих организаций) к предоставлению услуг в социальной сфере города Югорска</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образование администрации города Югорска,</w:t>
            </w:r>
            <w:r w:rsidRPr="00A860FD">
              <w:rPr>
                <w:sz w:val="24"/>
                <w:szCs w:val="24"/>
              </w:rPr>
              <w:br w:type="page"/>
              <w:t xml:space="preserve">Управление культуры администрации города Югорска, </w:t>
            </w:r>
            <w:r w:rsidRPr="00A860FD">
              <w:rPr>
                <w:sz w:val="24"/>
                <w:szCs w:val="24"/>
              </w:rPr>
              <w:br w:type="page"/>
              <w:t>Управление социальной политики администрации города Югорска</w:t>
            </w:r>
            <w:r w:rsidRPr="00A860FD">
              <w:rPr>
                <w:sz w:val="24"/>
                <w:szCs w:val="24"/>
              </w:rPr>
              <w:br w:type="page"/>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Постановление администрации города Югорска от 09.09.2016 №2202 "О плане мероприятий ("дорожной карте") по поддержке доступа негосударственных  организаций (комерческих, некоммерческих) к предоставлению услуг в социальной сфере в городе Югорске на 2016 - 2020 годы"</w:t>
            </w:r>
          </w:p>
        </w:tc>
        <w:tc>
          <w:tcPr>
            <w:tcW w:w="935"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количество услуг оказываемых негосударственными организациями в социальной сфере, ед</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3 000,0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3 000,0</w:t>
            </w:r>
          </w:p>
        </w:tc>
      </w:tr>
      <w:tr w:rsidR="00A860FD" w:rsidRPr="00A860FD" w:rsidTr="00752DA8">
        <w:trPr>
          <w:trHeight w:val="130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2.7.</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Заключение муниципальными учреждениями энергосервисных контрактов*                                                                                                               </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жилищно - коммунального и строительного комплекса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распоряжения администрации города Югорска</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количество заключенных энергосервисных контрактов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752DA8">
        <w:trPr>
          <w:trHeight w:val="6345"/>
        </w:trPr>
        <w:tc>
          <w:tcPr>
            <w:tcW w:w="2618"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Итого</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5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1,5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color w:val="000000"/>
                <w:sz w:val="24"/>
                <w:szCs w:val="24"/>
              </w:rPr>
            </w:pPr>
            <w:r w:rsidRPr="00A860FD">
              <w:rPr>
                <w:b/>
                <w:bCs/>
                <w:color w:val="000000"/>
                <w:sz w:val="24"/>
                <w:szCs w:val="24"/>
              </w:rPr>
              <w:t>не менее 1,5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color w:val="000000"/>
                <w:sz w:val="24"/>
                <w:szCs w:val="24"/>
              </w:rPr>
            </w:pPr>
            <w:r w:rsidRPr="00A860FD">
              <w:rPr>
                <w:b/>
                <w:bCs/>
                <w:color w:val="000000"/>
                <w:sz w:val="24"/>
                <w:szCs w:val="24"/>
              </w:rPr>
              <w:t>не менее 1,5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16 724,0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18 700,0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18 830,0</w:t>
            </w:r>
          </w:p>
        </w:tc>
      </w:tr>
      <w:tr w:rsidR="00A860FD" w:rsidRPr="00A860FD" w:rsidTr="00A860FD">
        <w:trPr>
          <w:trHeight w:val="480"/>
        </w:trPr>
        <w:tc>
          <w:tcPr>
            <w:tcW w:w="5000" w:type="pct"/>
            <w:gridSpan w:val="1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rPr>
                <w:sz w:val="24"/>
                <w:szCs w:val="24"/>
              </w:rPr>
            </w:pPr>
            <w:r w:rsidRPr="00A860FD">
              <w:rPr>
                <w:sz w:val="24"/>
                <w:szCs w:val="24"/>
              </w:rPr>
              <w:t>*Бюджетный эффект будет определен по источении срока  энергосервисного контракта</w:t>
            </w:r>
          </w:p>
        </w:tc>
      </w:tr>
      <w:tr w:rsidR="00A860FD" w:rsidRPr="00A860FD" w:rsidTr="00A860FD">
        <w:trPr>
          <w:trHeight w:val="315"/>
        </w:trPr>
        <w:tc>
          <w:tcPr>
            <w:tcW w:w="5000" w:type="pct"/>
            <w:gridSpan w:val="14"/>
            <w:tcBorders>
              <w:top w:val="single" w:sz="4" w:space="0" w:color="auto"/>
              <w:left w:val="single" w:sz="4" w:space="0" w:color="auto"/>
              <w:bottom w:val="nil"/>
              <w:right w:val="single" w:sz="4" w:space="0" w:color="000000"/>
            </w:tcBorders>
            <w:shd w:val="clear" w:color="000000" w:fill="FFFFFF"/>
            <w:hideMark/>
          </w:tcPr>
          <w:p w:rsidR="00A860FD" w:rsidRPr="00A860FD" w:rsidRDefault="00A860FD" w:rsidP="00A860FD">
            <w:pPr>
              <w:jc w:val="center"/>
              <w:rPr>
                <w:b/>
                <w:bCs/>
                <w:sz w:val="24"/>
                <w:szCs w:val="24"/>
              </w:rPr>
            </w:pPr>
            <w:r w:rsidRPr="00A860FD">
              <w:rPr>
                <w:b/>
                <w:bCs/>
                <w:sz w:val="24"/>
                <w:szCs w:val="24"/>
              </w:rPr>
              <w:t>3.Мероприятия по сокращению муниципального долга и расходов на его обслуживание</w:t>
            </w:r>
          </w:p>
        </w:tc>
      </w:tr>
      <w:tr w:rsidR="00A860FD" w:rsidRPr="00A860FD" w:rsidTr="00752DA8">
        <w:trPr>
          <w:trHeight w:val="279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3.1.</w:t>
            </w:r>
          </w:p>
        </w:tc>
        <w:tc>
          <w:tcPr>
            <w:tcW w:w="714"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значение показателя соотношения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0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752DA8">
        <w:trPr>
          <w:trHeight w:val="2205"/>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3.2.</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уровень долговой нагрузки на бюджет города по ежегодному погашению долговых обязательств на уровне, не превышающем 55% от суммарного годового объема доходов бюджета города без учета безвозмездных поступлений</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годового объема погашения долговых обязательств к суммарному годовому объему доходов бюджета города без учета безвозмездных поступлений,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752DA8">
        <w:trPr>
          <w:trHeight w:val="2629"/>
        </w:trPr>
        <w:tc>
          <w:tcPr>
            <w:tcW w:w="191"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3.3.</w:t>
            </w:r>
          </w:p>
        </w:tc>
        <w:tc>
          <w:tcPr>
            <w:tcW w:w="714"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предельный годовой объем расходов на обслуживание муниципального долга не более 5 % от общего годового объема расходов бюджета города, за исключением расходов, осуществляемых за счет субвенций</w:t>
            </w:r>
          </w:p>
        </w:tc>
        <w:tc>
          <w:tcPr>
            <w:tcW w:w="62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2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3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годового объема расходов на обслуживание муниципального долга к общему годовому объему расходов бюджета города, за исключением расходов, осуществляемых за счет субвенций, %</w:t>
            </w:r>
          </w:p>
        </w:tc>
        <w:tc>
          <w:tcPr>
            <w:tcW w:w="25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не более 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не более 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1 000,0</w:t>
            </w:r>
          </w:p>
        </w:tc>
        <w:tc>
          <w:tcPr>
            <w:tcW w:w="26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color w:val="000000"/>
                <w:sz w:val="24"/>
                <w:szCs w:val="24"/>
              </w:rPr>
            </w:pPr>
            <w:r w:rsidRPr="00A860FD">
              <w:rPr>
                <w:color w:val="000000"/>
                <w:sz w:val="24"/>
                <w:szCs w:val="24"/>
              </w:rPr>
              <w:t>1 000,0</w:t>
            </w:r>
          </w:p>
        </w:tc>
      </w:tr>
      <w:tr w:rsidR="00A860FD" w:rsidRPr="00A860FD" w:rsidTr="00752DA8">
        <w:trPr>
          <w:trHeight w:val="495"/>
        </w:trPr>
        <w:tc>
          <w:tcPr>
            <w:tcW w:w="355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Итого</w:t>
            </w:r>
          </w:p>
        </w:tc>
        <w:tc>
          <w:tcPr>
            <w:tcW w:w="259" w:type="pct"/>
            <w:gridSpan w:val="3"/>
            <w:tcBorders>
              <w:top w:val="single" w:sz="4" w:space="0" w:color="auto"/>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2"/>
                <w:szCs w:val="22"/>
              </w:rPr>
            </w:pPr>
            <w:r w:rsidRPr="00A860FD">
              <w:rPr>
                <w:b/>
                <w:bCs/>
                <w:sz w:val="22"/>
                <w:szCs w:val="22"/>
              </w:rPr>
              <w:t>х</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2"/>
                <w:szCs w:val="22"/>
              </w:rPr>
            </w:pPr>
            <w:r w:rsidRPr="00A860FD">
              <w:rPr>
                <w:b/>
                <w:bCs/>
                <w:color w:val="000000"/>
                <w:sz w:val="22"/>
                <w:szCs w:val="22"/>
              </w:rPr>
              <w:t>х</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2"/>
                <w:szCs w:val="22"/>
              </w:rPr>
            </w:pPr>
            <w:r w:rsidRPr="00A860FD">
              <w:rPr>
                <w:b/>
                <w:bCs/>
                <w:color w:val="000000"/>
                <w:sz w:val="22"/>
                <w:szCs w:val="22"/>
              </w:rPr>
              <w:t>х</w:t>
            </w:r>
          </w:p>
        </w:tc>
        <w:tc>
          <w:tcPr>
            <w:tcW w:w="20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1 500,0</w:t>
            </w:r>
          </w:p>
        </w:tc>
        <w:tc>
          <w:tcPr>
            <w:tcW w:w="26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1 000,0</w:t>
            </w:r>
          </w:p>
        </w:tc>
        <w:tc>
          <w:tcPr>
            <w:tcW w:w="26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1 000,0</w:t>
            </w: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rPr>
                <w:b/>
                <w:bCs/>
                <w:color w:val="000000"/>
                <w:sz w:val="24"/>
                <w:szCs w:val="24"/>
              </w:rP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529" w:type="pct"/>
            <w:gridSpan w:val="3"/>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529" w:type="pct"/>
            <w:gridSpan w:val="3"/>
            <w:tcBorders>
              <w:top w:val="nil"/>
              <w:left w:val="nil"/>
              <w:bottom w:val="nil"/>
              <w:right w:val="nil"/>
            </w:tcBorders>
            <w:shd w:val="clear" w:color="auto" w:fill="auto"/>
            <w:noWrap/>
            <w:vAlign w:val="center"/>
          </w:tcPr>
          <w:p w:rsidR="00A860FD" w:rsidRDefault="00A860FD" w:rsidP="00A860FD">
            <w:pPr>
              <w:jc w:val="center"/>
            </w:pPr>
          </w:p>
          <w:p w:rsidR="00A860FD" w:rsidRDefault="00A860FD" w:rsidP="00A860FD">
            <w:pPr>
              <w:jc w:val="center"/>
            </w:pPr>
          </w:p>
          <w:p w:rsidR="00A860FD" w:rsidRDefault="00A860FD" w:rsidP="00A860FD">
            <w:pPr>
              <w:jc w:val="center"/>
            </w:pPr>
          </w:p>
          <w:p w:rsidR="00A860FD" w:rsidRDefault="00A860FD" w:rsidP="00A860FD">
            <w:pPr>
              <w:jc w:val="center"/>
            </w:pPr>
          </w:p>
          <w:p w:rsidR="00A860FD" w:rsidRDefault="00A860FD" w:rsidP="00A860FD">
            <w:pPr>
              <w:jc w:val="center"/>
            </w:pPr>
          </w:p>
          <w:p w:rsidR="00A860FD" w:rsidRPr="00A860FD" w:rsidRDefault="00A860FD" w:rsidP="00A860FD">
            <w:pPr>
              <w:jc w:val="center"/>
            </w:pPr>
          </w:p>
        </w:tc>
        <w:tc>
          <w:tcPr>
            <w:tcW w:w="420" w:type="pct"/>
            <w:tcBorders>
              <w:top w:val="nil"/>
              <w:left w:val="nil"/>
              <w:bottom w:val="nil"/>
              <w:right w:val="nil"/>
            </w:tcBorders>
            <w:shd w:val="clear" w:color="auto" w:fill="auto"/>
            <w:noWrap/>
            <w:vAlign w:val="center"/>
          </w:tcPr>
          <w:p w:rsidR="00A860FD" w:rsidRPr="00A860FD" w:rsidRDefault="00A860FD" w:rsidP="00A860FD"/>
        </w:tc>
        <w:tc>
          <w:tcPr>
            <w:tcW w:w="669"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tcPr>
          <w:p w:rsidR="00A860FD" w:rsidRPr="00A860FD" w:rsidRDefault="00A860FD" w:rsidP="00A860FD"/>
        </w:tc>
        <w:tc>
          <w:tcPr>
            <w:tcW w:w="117" w:type="pct"/>
            <w:tcBorders>
              <w:top w:val="nil"/>
              <w:left w:val="nil"/>
              <w:bottom w:val="nil"/>
              <w:right w:val="nil"/>
            </w:tcBorders>
            <w:shd w:val="clear" w:color="auto" w:fill="auto"/>
            <w:noWrap/>
            <w:vAlign w:val="center"/>
          </w:tcPr>
          <w:p w:rsidR="00A860FD" w:rsidRPr="00A860FD" w:rsidRDefault="00A860FD" w:rsidP="00A860FD"/>
        </w:tc>
        <w:tc>
          <w:tcPr>
            <w:tcW w:w="71"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752DA8">
        <w:trPr>
          <w:trHeight w:val="315"/>
        </w:trPr>
        <w:tc>
          <w:tcPr>
            <w:tcW w:w="19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4"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5" w:type="pct"/>
            <w:tcBorders>
              <w:top w:val="nil"/>
              <w:left w:val="nil"/>
              <w:bottom w:val="nil"/>
              <w:right w:val="nil"/>
            </w:tcBorders>
            <w:shd w:val="clear" w:color="auto" w:fill="auto"/>
            <w:noWrap/>
            <w:vAlign w:val="center"/>
            <w:hideMark/>
          </w:tcPr>
          <w:p w:rsidR="00A860FD" w:rsidRPr="00A860FD" w:rsidRDefault="00A860FD" w:rsidP="00A860FD"/>
        </w:tc>
        <w:tc>
          <w:tcPr>
            <w:tcW w:w="420" w:type="pct"/>
            <w:tcBorders>
              <w:top w:val="nil"/>
              <w:left w:val="nil"/>
              <w:bottom w:val="nil"/>
              <w:right w:val="nil"/>
            </w:tcBorders>
            <w:shd w:val="clear" w:color="auto" w:fill="auto"/>
            <w:noWrap/>
            <w:vAlign w:val="center"/>
            <w:hideMark/>
          </w:tcPr>
          <w:p w:rsidR="00A860FD" w:rsidRPr="00A860FD" w:rsidRDefault="00A860FD" w:rsidP="00A860FD"/>
        </w:tc>
        <w:tc>
          <w:tcPr>
            <w:tcW w:w="669"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35" w:type="pct"/>
            <w:tcBorders>
              <w:top w:val="nil"/>
              <w:left w:val="nil"/>
              <w:bottom w:val="nil"/>
              <w:right w:val="nil"/>
            </w:tcBorders>
            <w:shd w:val="clear" w:color="auto" w:fill="auto"/>
            <w:noWrap/>
            <w:vAlign w:val="center"/>
            <w:hideMark/>
          </w:tcPr>
          <w:p w:rsidR="00A860FD" w:rsidRPr="00A860FD" w:rsidRDefault="00A860FD" w:rsidP="00A860FD"/>
        </w:tc>
        <w:tc>
          <w:tcPr>
            <w:tcW w:w="117" w:type="pct"/>
            <w:tcBorders>
              <w:top w:val="nil"/>
              <w:left w:val="nil"/>
              <w:bottom w:val="nil"/>
              <w:right w:val="nil"/>
            </w:tcBorders>
            <w:shd w:val="clear" w:color="auto" w:fill="auto"/>
            <w:noWrap/>
            <w:vAlign w:val="center"/>
            <w:hideMark/>
          </w:tcPr>
          <w:p w:rsidR="00A860FD" w:rsidRPr="00A860FD" w:rsidRDefault="00A860FD" w:rsidP="00A860FD"/>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6" w:type="pct"/>
            <w:tcBorders>
              <w:top w:val="nil"/>
              <w:left w:val="nil"/>
              <w:bottom w:val="nil"/>
              <w:right w:val="nil"/>
            </w:tcBorders>
            <w:shd w:val="clear" w:color="auto" w:fill="auto"/>
            <w:noWrap/>
            <w:vAlign w:val="center"/>
            <w:hideMark/>
          </w:tcPr>
          <w:p w:rsidR="00A860FD" w:rsidRPr="00A860FD" w:rsidRDefault="00A860FD" w:rsidP="00A860FD">
            <w:pPr>
              <w:jc w:val="center"/>
            </w:pPr>
          </w:p>
        </w:tc>
      </w:tr>
    </w:tbl>
    <w:p w:rsidR="00A860FD" w:rsidRDefault="00A860FD" w:rsidP="00752DA8">
      <w:pPr>
        <w:jc w:val="both"/>
        <w:rPr>
          <w:sz w:val="24"/>
          <w:szCs w:val="24"/>
        </w:rPr>
      </w:pPr>
    </w:p>
    <w:sectPr w:rsidR="00A860FD" w:rsidSect="00A860FD">
      <w:pgSz w:w="16838" w:h="11906" w:orient="landscape"/>
      <w:pgMar w:top="1599" w:right="56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97BA6"/>
    <w:multiLevelType w:val="hybridMultilevel"/>
    <w:tmpl w:val="CB6A4F38"/>
    <w:lvl w:ilvl="0" w:tplc="90F69FB8">
      <w:start w:val="1"/>
      <w:numFmt w:val="decimal"/>
      <w:lvlText w:val="%1."/>
      <w:lvlJc w:val="center"/>
      <w:pPr>
        <w:ind w:left="55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2"/>
  </w:compat>
  <w:rsids>
    <w:rsidRoot w:val="00FE4EFE"/>
    <w:rsid w:val="00035E54"/>
    <w:rsid w:val="000A1A9F"/>
    <w:rsid w:val="002C49C5"/>
    <w:rsid w:val="00450214"/>
    <w:rsid w:val="004B1A26"/>
    <w:rsid w:val="00752DA8"/>
    <w:rsid w:val="00A860FD"/>
    <w:rsid w:val="00FE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F7B1"/>
  <w15:docId w15:val="{3854EDC5-572A-4167-AC39-CD7C900D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0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0FD"/>
    <w:pPr>
      <w:keepNext/>
      <w:jc w:val="center"/>
      <w:outlineLvl w:val="0"/>
    </w:pPr>
    <w:rPr>
      <w:sz w:val="24"/>
    </w:rPr>
  </w:style>
  <w:style w:type="paragraph" w:styleId="5">
    <w:name w:val="heading 5"/>
    <w:basedOn w:val="a"/>
    <w:next w:val="a"/>
    <w:link w:val="50"/>
    <w:qFormat/>
    <w:rsid w:val="00A860FD"/>
    <w:pPr>
      <w:keepNext/>
      <w:jc w:val="center"/>
      <w:outlineLvl w:val="4"/>
    </w:pPr>
    <w:rPr>
      <w:sz w:val="32"/>
    </w:rPr>
  </w:style>
  <w:style w:type="paragraph" w:styleId="6">
    <w:name w:val="heading 6"/>
    <w:basedOn w:val="a"/>
    <w:next w:val="a"/>
    <w:link w:val="60"/>
    <w:qFormat/>
    <w:rsid w:val="00A860FD"/>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0F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860F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A860FD"/>
    <w:rPr>
      <w:rFonts w:ascii="Times New Roman" w:eastAsia="Times New Roman" w:hAnsi="Times New Roman" w:cs="Times New Roman"/>
      <w:sz w:val="40"/>
      <w:szCs w:val="20"/>
      <w:lang w:eastAsia="ru-RU"/>
    </w:rPr>
  </w:style>
  <w:style w:type="paragraph" w:styleId="3">
    <w:name w:val="Body Text 3"/>
    <w:basedOn w:val="a"/>
    <w:link w:val="30"/>
    <w:rsid w:val="00A860FD"/>
    <w:pPr>
      <w:jc w:val="both"/>
    </w:pPr>
  </w:style>
  <w:style w:type="character" w:customStyle="1" w:styleId="30">
    <w:name w:val="Основной текст 3 Знак"/>
    <w:basedOn w:val="a0"/>
    <w:link w:val="3"/>
    <w:rsid w:val="00A860FD"/>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0A1A9F"/>
    <w:rPr>
      <w:rFonts w:ascii="Tahoma" w:hAnsi="Tahoma" w:cs="Tahoma"/>
      <w:sz w:val="16"/>
      <w:szCs w:val="16"/>
    </w:rPr>
  </w:style>
  <w:style w:type="character" w:customStyle="1" w:styleId="a4">
    <w:name w:val="Текст выноски Знак"/>
    <w:basedOn w:val="a0"/>
    <w:link w:val="a3"/>
    <w:uiPriority w:val="99"/>
    <w:semiHidden/>
    <w:rsid w:val="000A1A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2578</Words>
  <Characters>14696</Characters>
  <Application>Microsoft Office Word</Application>
  <DocSecurity>0</DocSecurity>
  <Lines>122</Lines>
  <Paragraphs>34</Paragraphs>
  <ScaleCrop>false</ScaleCrop>
  <Company>DF</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dfunix</dc:creator>
  <cp:lastModifiedBy>dfunix</cp:lastModifiedBy>
  <cp:revision>4</cp:revision>
  <dcterms:created xsi:type="dcterms:W3CDTF">2019-04-24T09:54:00Z</dcterms:created>
  <dcterms:modified xsi:type="dcterms:W3CDTF">2019-04-24T11:19:00Z</dcterms:modified>
</cp:coreProperties>
</file>