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26F3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26F3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(ПРОЕКТ)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B22C6D" w:rsidRPr="00B22C6D" w:rsidRDefault="00B22C6D" w:rsidP="00B22C6D">
      <w:pPr>
        <w:pStyle w:val="31"/>
        <w:ind w:right="3260"/>
        <w:rPr>
          <w:rFonts w:ascii="PT Astra Serif" w:hAnsi="PT Astra Serif"/>
          <w:b/>
          <w:sz w:val="28"/>
          <w:szCs w:val="28"/>
        </w:rPr>
      </w:pPr>
      <w:proofErr w:type="gramStart"/>
      <w:r w:rsidRPr="00B22C6D">
        <w:rPr>
          <w:rFonts w:ascii="PT Astra Serif" w:hAnsi="PT Astra Serif"/>
          <w:b/>
          <w:sz w:val="28"/>
          <w:szCs w:val="28"/>
        </w:rPr>
        <w:t xml:space="preserve">О признании утратившим силу решения Думы города Югорска от 31.08.2021 № 67 «Об утверждении Положения о </w:t>
      </w:r>
      <w:bookmarkStart w:id="0" w:name="_GoBack"/>
      <w:r w:rsidRPr="00B22C6D">
        <w:rPr>
          <w:rFonts w:ascii="PT Astra Serif" w:hAnsi="PT Astra Serif"/>
          <w:b/>
          <w:sz w:val="28"/>
          <w:szCs w:val="28"/>
        </w:rPr>
        <w:t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bookmarkEnd w:id="0"/>
      <w:r w:rsidRPr="00B22C6D">
        <w:rPr>
          <w:rFonts w:ascii="PT Astra Serif" w:hAnsi="PT Astra Serif"/>
          <w:b/>
          <w:sz w:val="28"/>
          <w:szCs w:val="28"/>
        </w:rPr>
        <w:t>»</w:t>
      </w:r>
      <w:proofErr w:type="gramEnd"/>
    </w:p>
    <w:p w:rsidR="00326F36" w:rsidRPr="00AB03F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AB03F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D8661B" w:rsidRPr="008473FE" w:rsidRDefault="008473FE" w:rsidP="008473F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</w:t>
      </w:r>
      <w:r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частью 9 статьи 1 </w:t>
      </w:r>
      <w:r w:rsidR="00B22C6D"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</w:t>
      </w:r>
      <w:r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="00B22C6D"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>а от 31.07.2020 № </w:t>
      </w:r>
      <w:r w:rsidR="00B22C6D" w:rsidRPr="008473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248-ФЗ «О государственном контроле (надзоре) и муниципальном контроле в Российской Федерации», 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статьями 23.4–23.13 Федеральн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ого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закон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27.07.2010 № 190-ФЗ «О теплоснабжении»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статьей 10 Федерального закона от 29.07.2017 № 279-ФЗ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 в сфере</w:t>
      </w:r>
      <w:proofErr w:type="gramEnd"/>
      <w:r w:rsidRPr="008473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теплоснабжения»</w:t>
      </w:r>
    </w:p>
    <w:p w:rsidR="00326F36" w:rsidRPr="00AB03F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AB03F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AB03F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AB03F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22C6D" w:rsidRPr="00B22C6D" w:rsidRDefault="00B22C6D" w:rsidP="00B22C6D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22C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 Решение Думы города Югорска от 31.08.2021 № 67 «Об утверждении Положения о муниципальном </w:t>
      </w:r>
      <w:proofErr w:type="gramStart"/>
      <w:r w:rsidRPr="00B22C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B22C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 признать утратившим силу.</w:t>
      </w:r>
    </w:p>
    <w:p w:rsidR="006C7CF5" w:rsidRPr="00AB03F9" w:rsidRDefault="00B22C6D" w:rsidP="00B22C6D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22C6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6C7CF5" w:rsidRPr="00AB03F9" w:rsidRDefault="006C7CF5" w:rsidP="006C7CF5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C7CF5" w:rsidRPr="00AB03F9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C7CF5" w:rsidRPr="00AB03F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6C7CF5" w:rsidRPr="00AB03F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AB03F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AB03F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AB03F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B03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AB03F9" w:rsidRDefault="006C7CF5" w:rsidP="006C7CF5">
      <w:pPr>
        <w:numPr>
          <w:ilvl w:val="0"/>
          <w:numId w:val="1"/>
        </w:num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C7CF5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«    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</w:t>
      </w: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6C7CF5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326F3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3D7C9E" w:rsidRDefault="003D7C9E" w:rsidP="006C7CF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227C8" w:rsidRDefault="007227C8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6C7CF5" w:rsidRPr="007227C8" w:rsidRDefault="006C7CF5" w:rsidP="006C7CF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b/>
          <w:sz w:val="26"/>
          <w:szCs w:val="26"/>
          <w:highlight w:val="yellow"/>
          <w:lang w:eastAsia="ru-RU"/>
        </w:rPr>
        <w:lastRenderedPageBreak/>
        <w:t xml:space="preserve">Приложение </w:t>
      </w:r>
    </w:p>
    <w:p w:rsidR="006C7CF5" w:rsidRPr="007227C8" w:rsidRDefault="006C7CF5" w:rsidP="006C7CF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highlight w:val="yellow"/>
          <w:lang w:eastAsia="ru-RU"/>
        </w:rPr>
      </w:pPr>
      <w:r w:rsidRPr="007227C8">
        <w:rPr>
          <w:rFonts w:ascii="PT Astra Serif" w:eastAsia="Times New Roman" w:hAnsi="PT Astra Serif" w:cs="Arial"/>
          <w:b/>
          <w:bCs/>
          <w:kern w:val="32"/>
          <w:sz w:val="26"/>
          <w:szCs w:val="26"/>
          <w:highlight w:val="yellow"/>
          <w:lang w:eastAsia="ru-RU"/>
        </w:rPr>
        <w:t>к решению Думы города Югорска</w:t>
      </w:r>
    </w:p>
    <w:p w:rsidR="006C7CF5" w:rsidRPr="007227C8" w:rsidRDefault="006C7CF5" w:rsidP="006C7CF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highlight w:val="yellow"/>
          <w:lang w:eastAsia="ru-RU"/>
        </w:rPr>
      </w:pPr>
      <w:r w:rsidRPr="007227C8">
        <w:rPr>
          <w:rFonts w:ascii="PT Astra Serif" w:eastAsia="Times New Roman" w:hAnsi="PT Astra Serif" w:cs="Arial"/>
          <w:b/>
          <w:bCs/>
          <w:kern w:val="32"/>
          <w:sz w:val="26"/>
          <w:szCs w:val="26"/>
          <w:highlight w:val="yellow"/>
          <w:lang w:eastAsia="ru-RU"/>
        </w:rPr>
        <w:t xml:space="preserve">от    2022 года №   </w:t>
      </w:r>
    </w:p>
    <w:p w:rsidR="006C7CF5" w:rsidRPr="007227C8" w:rsidRDefault="006C7CF5" w:rsidP="006C7CF5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highlight w:val="yellow"/>
          <w:lang w:eastAsia="ru-RU"/>
        </w:rPr>
      </w:pPr>
    </w:p>
    <w:p w:rsidR="006C7CF5" w:rsidRPr="007227C8" w:rsidRDefault="006C7CF5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</w:p>
    <w:p w:rsidR="00C14F02" w:rsidRPr="007227C8" w:rsidRDefault="00C14F02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Приложение 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br/>
        <w:t>к </w:t>
      </w:r>
      <w:hyperlink r:id="rId8" w:anchor="/document/403349393/entry/1000" w:history="1">
        <w:r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Положению</w:t>
        </w:r>
      </w:hyperlink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о муниципальном</w:t>
      </w:r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br/>
        <w:t>жилищ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ном контроле</w:t>
      </w:r>
    </w:p>
    <w:p w:rsidR="003D7C9E" w:rsidRPr="007227C8" w:rsidRDefault="003D7C9E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</w:p>
    <w:p w:rsidR="00CA0FC3" w:rsidRPr="007227C8" w:rsidRDefault="00C14F02" w:rsidP="001A3CCC">
      <w:pPr>
        <w:shd w:val="clear" w:color="auto" w:fill="FFFFFF"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  <w:t xml:space="preserve">Критерии отнесения объектов муниципального </w:t>
      </w:r>
      <w:r w:rsidR="00964401" w:rsidRPr="007227C8"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  <w:t xml:space="preserve">жилищного </w:t>
      </w:r>
      <w:r w:rsidRPr="007227C8"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  <w:t xml:space="preserve">контроля </w:t>
      </w:r>
    </w:p>
    <w:p w:rsidR="00C14F02" w:rsidRPr="007227C8" w:rsidRDefault="00C14F02" w:rsidP="001A3CCC">
      <w:pPr>
        <w:shd w:val="clear" w:color="auto" w:fill="FFFFFF"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  <w:t>к категориям риска</w:t>
      </w:r>
    </w:p>
    <w:p w:rsidR="006C7CF5" w:rsidRPr="007227C8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</w:p>
    <w:p w:rsidR="00C14F02" w:rsidRPr="007227C8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1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. К категории среднего риска относится: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- </w:t>
      </w:r>
      <w:r w:rsidR="00621F59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7</w:t>
      </w:r>
      <w:r w:rsidR="002B2117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0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.</w:t>
      </w:r>
    </w:p>
    <w:p w:rsidR="00C14F02" w:rsidRPr="007227C8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2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. К категории умеренного риска относится: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деятельность юридических лиц и (или) индивидуальных предпринимателей в сфере управления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многоквартирными домами (объектами), количественный показатель которых превышает - </w:t>
      </w:r>
      <w:r w:rsidR="00621F59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35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.</w:t>
      </w:r>
    </w:p>
    <w:p w:rsidR="00C14F02" w:rsidRPr="007227C8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3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. К категории низкого риска относятся: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деятельность юридических лиц, индивидуальных предпринимателей, не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предусмотренная </w:t>
      </w:r>
      <w:hyperlink r:id="rId9" w:anchor="/document/403349393/entry/2002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пунктами </w:t>
        </w:r>
      </w:hyperlink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1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и </w:t>
      </w:r>
      <w:hyperlink r:id="rId10" w:anchor="/document/403349393/entry/2003" w:history="1">
        <w:r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2</w:t>
        </w:r>
      </w:hyperlink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 настоящего </w:t>
      </w:r>
      <w:r w:rsidR="00C33C2D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приложения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.</w:t>
      </w:r>
    </w:p>
    <w:p w:rsidR="00C14F02" w:rsidRPr="007227C8" w:rsidRDefault="0033518C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4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. </w:t>
      </w:r>
      <w:proofErr w:type="gramStart"/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С учетом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вероятности нарушения обязательных требований объекты муниципального жилищного контроля, предусмотренные </w:t>
      </w:r>
      <w:hyperlink r:id="rId11" w:anchor="/document/403349393/entry/2004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пунктом </w:t>
        </w:r>
      </w:hyperlink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3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настоящего приложения и подлежащие отнесению к категории низкого риска, подлежат отнесению к категориям среднего риска (</w:t>
      </w:r>
      <w:hyperlink r:id="rId12" w:anchor="/document/403349393/entry/2002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пункт </w:t>
        </w:r>
      </w:hyperlink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1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настоящего приложения) или умеренного риска (</w:t>
      </w:r>
      <w:hyperlink r:id="rId13" w:anchor="/document/403349393/entry/2003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пункт </w:t>
        </w:r>
      </w:hyperlink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2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настоящего приложения) при наличии вступивших в законную силу в течение последних 3 лет на дату принятия (изменения) решения об отнесении объекта муниципального жилищного</w:t>
      </w:r>
      <w:proofErr w:type="gramEnd"/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контроля к категории риска двух и более постановлений (решений) по делу об административном правонарушении с назначением административного наказания связанных </w:t>
      </w:r>
      <w:proofErr w:type="gramStart"/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с</w:t>
      </w:r>
      <w:proofErr w:type="gramEnd"/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:</w:t>
      </w:r>
    </w:p>
    <w:p w:rsidR="00C14F02" w:rsidRPr="007227C8" w:rsidRDefault="00D634BD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а)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нарушением </w:t>
      </w:r>
      <w:hyperlink r:id="rId14" w:anchor="/document/12138291/entry/0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жилищного</w:t>
        </w:r>
        <w:r w:rsidR="006A1A28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 законодательства, законодательства</w:t>
        </w:r>
        <w:r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 xml:space="preserve"> </w:t>
        </w:r>
      </w:hyperlink>
      <w:r w:rsidR="006A1A28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об </w:t>
      </w:r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э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нергосбережении и о повышении энергетической эффективности в отношении муниципального жилищного фонда, ответственность за которое предусмотрена </w:t>
      </w:r>
      <w:hyperlink r:id="rId15" w:anchor="/document/12125267/entry/70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главой 7</w:t>
        </w:r>
      </w:hyperlink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 Кодекса Российской Федерации 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об административных правонарушениях;</w:t>
      </w:r>
    </w:p>
    <w:p w:rsidR="00C14F02" w:rsidRPr="007227C8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б) воспрепятствованием законной </w:t>
      </w:r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деятельности должностного лица контрольного органа по проведению проверок или уклонением от таких проверок, ответственность за которые предусмотрена </w:t>
      </w:r>
      <w:hyperlink r:id="rId16" w:anchor="/document/12125267/entry/194001" w:history="1">
        <w:r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статьей 19.4.1</w:t>
        </w:r>
      </w:hyperlink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Кодекса Российской Федерации об административных правонарушениях;</w:t>
      </w:r>
    </w:p>
    <w:p w:rsidR="00C14F02" w:rsidRPr="007227C8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lastRenderedPageBreak/>
        <w:t xml:space="preserve">в) невыполнением в </w:t>
      </w:r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срок законного предписания контрольного органа, ответственность за которое предусмотрена </w:t>
      </w:r>
      <w:hyperlink r:id="rId17" w:anchor="/document/12125267/entry/195" w:history="1">
        <w:r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статьей 19.5</w:t>
        </w:r>
      </w:hyperlink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 Кодекса Российской Федерации об административных правонарушениях;</w:t>
      </w:r>
    </w:p>
    <w:p w:rsidR="00C14F02" w:rsidRPr="007227C8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</w:pPr>
      <w:r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г) увеличение количества управляемых 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объектов до показателя установленной к</w:t>
      </w:r>
      <w:r w:rsidR="006C7CF5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атегории соответствующего риска</w:t>
      </w: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.</w:t>
      </w:r>
    </w:p>
    <w:p w:rsidR="00C14F02" w:rsidRPr="00C14F02" w:rsidRDefault="0033518C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>5</w:t>
      </w:r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. </w:t>
      </w:r>
      <w:proofErr w:type="gramStart"/>
      <w:r w:rsidR="00C14F02" w:rsidRPr="007227C8">
        <w:rPr>
          <w:rFonts w:ascii="PT Astra Serif" w:eastAsia="Times New Roman" w:hAnsi="PT Astra Serif" w:cs="Times New Roman"/>
          <w:color w:val="22272F"/>
          <w:sz w:val="28"/>
          <w:szCs w:val="28"/>
          <w:highlight w:val="yellow"/>
          <w:lang w:eastAsia="ru-RU"/>
        </w:rPr>
        <w:t xml:space="preserve">С 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учетом вероятности уменьшения количества управляемых объектов до показателя установленной категории соответствующего риска, </w:t>
      </w:r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п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редусмотренной </w:t>
      </w:r>
      <w:hyperlink r:id="rId18" w:anchor="/document/403349393/entry/2002" w:history="1">
        <w:r w:rsidR="00C14F02" w:rsidRPr="007227C8">
          <w:rPr>
            <w:rFonts w:ascii="PT Astra Serif" w:eastAsia="Times New Roman" w:hAnsi="PT Astra Serif" w:cs="Times New Roman"/>
            <w:sz w:val="28"/>
            <w:szCs w:val="28"/>
            <w:highlight w:val="yellow"/>
            <w:lang w:eastAsia="ru-RU"/>
          </w:rPr>
          <w:t>пунктами</w:t>
        </w:r>
      </w:hyperlink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1</w:t>
      </w:r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  <w:r w:rsidR="006A1A28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и</w:t>
      </w:r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2</w:t>
      </w:r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</w:t>
      </w:r>
      <w:r w:rsidR="006A1A28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настоящего </w:t>
      </w:r>
      <w:r w:rsidR="00DA02AA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п</w:t>
      </w:r>
      <w:r w:rsidR="006A1A28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риложения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, объекты муниципального жилищного контроля, предусмотренные пунктом </w:t>
      </w:r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1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и </w:t>
      </w:r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2</w:t>
      </w:r>
      <w:r w:rsidR="00C14F02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 xml:space="preserve"> настоящего приложения, подлежащие отнесению к соответствующей категори</w:t>
      </w:r>
      <w:r w:rsidR="006C7CF5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и умеренного либо низкого риска</w:t>
      </w:r>
      <w:r w:rsidR="006A1A28" w:rsidRPr="007227C8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.</w:t>
      </w:r>
      <w:proofErr w:type="gramEnd"/>
    </w:p>
    <w:p w:rsidR="00E72DD1" w:rsidRDefault="00E72DD1" w:rsidP="00326F36"/>
    <w:p w:rsidR="008A360E" w:rsidRDefault="008A360E" w:rsidP="00326F36"/>
    <w:sectPr w:rsidR="008A360E" w:rsidSect="008A360E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1535C4"/>
    <w:rsid w:val="0018294D"/>
    <w:rsid w:val="001A3CCC"/>
    <w:rsid w:val="001B04AF"/>
    <w:rsid w:val="00221884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A17A5"/>
    <w:rsid w:val="004B4948"/>
    <w:rsid w:val="00574324"/>
    <w:rsid w:val="005847EF"/>
    <w:rsid w:val="005E6DED"/>
    <w:rsid w:val="00621F59"/>
    <w:rsid w:val="0067426D"/>
    <w:rsid w:val="006A0CAB"/>
    <w:rsid w:val="006A1A28"/>
    <w:rsid w:val="006C7CF5"/>
    <w:rsid w:val="006D1C86"/>
    <w:rsid w:val="007227C8"/>
    <w:rsid w:val="00745924"/>
    <w:rsid w:val="007F6C47"/>
    <w:rsid w:val="008473FE"/>
    <w:rsid w:val="00862BFE"/>
    <w:rsid w:val="0086305E"/>
    <w:rsid w:val="008A360E"/>
    <w:rsid w:val="00923C74"/>
    <w:rsid w:val="00957A21"/>
    <w:rsid w:val="00964401"/>
    <w:rsid w:val="00970097"/>
    <w:rsid w:val="009E5599"/>
    <w:rsid w:val="00A10EBC"/>
    <w:rsid w:val="00A275BF"/>
    <w:rsid w:val="00A62FF0"/>
    <w:rsid w:val="00AB03F9"/>
    <w:rsid w:val="00AE333A"/>
    <w:rsid w:val="00AF58A5"/>
    <w:rsid w:val="00B22C6D"/>
    <w:rsid w:val="00B52FE5"/>
    <w:rsid w:val="00B72C07"/>
    <w:rsid w:val="00B907D5"/>
    <w:rsid w:val="00B95F76"/>
    <w:rsid w:val="00BE2800"/>
    <w:rsid w:val="00C14F02"/>
    <w:rsid w:val="00C33C2D"/>
    <w:rsid w:val="00C624D7"/>
    <w:rsid w:val="00C72E0C"/>
    <w:rsid w:val="00C94E43"/>
    <w:rsid w:val="00CA0FC3"/>
    <w:rsid w:val="00CB368E"/>
    <w:rsid w:val="00D2775F"/>
    <w:rsid w:val="00D634BD"/>
    <w:rsid w:val="00D8661B"/>
    <w:rsid w:val="00DA02AA"/>
    <w:rsid w:val="00DB3DC6"/>
    <w:rsid w:val="00E069C3"/>
    <w:rsid w:val="00E14FEF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B22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B22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BD75-08B5-4CD3-8EF5-F719298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АБВГДЁЖ</cp:lastModifiedBy>
  <cp:revision>63</cp:revision>
  <cp:lastPrinted>2022-06-16T04:35:00Z</cp:lastPrinted>
  <dcterms:created xsi:type="dcterms:W3CDTF">2022-05-18T04:14:00Z</dcterms:created>
  <dcterms:modified xsi:type="dcterms:W3CDTF">2022-07-19T07:59:00Z</dcterms:modified>
</cp:coreProperties>
</file>