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B14C3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292" w:rsidRDefault="00711292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711292" w:rsidRDefault="0071129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711292" w:rsidRDefault="00711292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711292" w:rsidRDefault="00711292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7E02B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№ 3302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1292" w:rsidRDefault="00711292" w:rsidP="0037056B">
      <w:pPr>
        <w:rPr>
          <w:sz w:val="24"/>
          <w:szCs w:val="24"/>
        </w:rPr>
      </w:pPr>
    </w:p>
    <w:p w:rsidR="000F01A5" w:rsidRDefault="000F01A5" w:rsidP="000F01A5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0F01A5" w:rsidRDefault="000F01A5" w:rsidP="000F01A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0F01A5" w:rsidRDefault="000F01A5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0F01A5" w:rsidRDefault="000F01A5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программе города Югорска</w:t>
      </w:r>
    </w:p>
    <w:p w:rsidR="000F01A5" w:rsidRDefault="000F01A5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0F01A5" w:rsidRDefault="00711292" w:rsidP="000F01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F01A5">
        <w:rPr>
          <w:sz w:val="24"/>
          <w:szCs w:val="24"/>
        </w:rPr>
        <w:t>2014-2020 годы»</w:t>
      </w:r>
    </w:p>
    <w:p w:rsidR="000F01A5" w:rsidRDefault="000F01A5" w:rsidP="000F01A5">
      <w:pPr>
        <w:jc w:val="both"/>
        <w:rPr>
          <w:sz w:val="24"/>
          <w:szCs w:val="24"/>
        </w:rPr>
      </w:pPr>
    </w:p>
    <w:p w:rsidR="000F01A5" w:rsidRDefault="000F01A5" w:rsidP="000F01A5">
      <w:pPr>
        <w:jc w:val="both"/>
        <w:rPr>
          <w:sz w:val="24"/>
          <w:szCs w:val="24"/>
        </w:rPr>
      </w:pPr>
    </w:p>
    <w:p w:rsidR="000F01A5" w:rsidRDefault="000F01A5" w:rsidP="000F01A5">
      <w:pPr>
        <w:jc w:val="both"/>
        <w:rPr>
          <w:sz w:val="24"/>
          <w:szCs w:val="24"/>
        </w:rPr>
      </w:pPr>
    </w:p>
    <w:p w:rsidR="000F01A5" w:rsidRDefault="000F01A5" w:rsidP="00711292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0F01A5" w:rsidRPr="00952462" w:rsidRDefault="000F01A5" w:rsidP="000F01A5">
      <w:pPr>
        <w:ind w:firstLine="709"/>
        <w:jc w:val="both"/>
        <w:rPr>
          <w:sz w:val="24"/>
          <w:szCs w:val="24"/>
        </w:rPr>
      </w:pPr>
      <w:r w:rsidRPr="00952462">
        <w:rPr>
          <w:sz w:val="24"/>
          <w:szCs w:val="24"/>
        </w:rPr>
        <w:t>1. </w:t>
      </w:r>
      <w:r>
        <w:rPr>
          <w:sz w:val="24"/>
          <w:szCs w:val="24"/>
        </w:rPr>
        <w:t xml:space="preserve"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2244,от 22.07.2014 № 3663, от 06.08.2014 № 3996, от 09.10.2014 № 5235, от 17.11.2014 </w:t>
      </w:r>
      <w:r w:rsidR="0071129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№ 6229, от 04.12.2014 № 6699, от 23.12.2014 № 7244, от 30.12.2014 № 7413, от 31.12.2014 </w:t>
      </w:r>
      <w:r w:rsidR="0071129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№ 7433, от 29.04.2015 № 1942, от 26.05.2015 № 2131, от 28.08.2015 № 2903, от 25.11.2015 </w:t>
      </w:r>
      <w:r w:rsidR="00711292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№ 3423, от 21.12.2015 № 3717, от 24.12.2015 № 3755, от 20.02.2016 № 407, от 17.03.2016 № 579, от 16.05.2016 № 1019, от 30.06.2016 № 1537, от 13.09.2016 № 2225, от 24.11.2016 № 2955) следующие </w:t>
      </w:r>
      <w:r w:rsidRPr="009E45BB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 В пунктах 10-12 строки «Целевые показатели муниципальной программы», в абзаце первом пунктов 10-12 целевых показателей муниципальной программы раздела 2 после слов «для города Югорска» дополнить словами «на уровне 100%».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«Финансовое обеспечение муниципальной программы» изложить в следующей редакции:</w:t>
      </w:r>
    </w:p>
    <w:p w:rsidR="000F01A5" w:rsidRDefault="000F01A5" w:rsidP="000F01A5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0F01A5" w:rsidTr="00711292">
        <w:tc>
          <w:tcPr>
            <w:tcW w:w="2127" w:type="dxa"/>
            <w:shd w:val="clear" w:color="auto" w:fill="auto"/>
          </w:tcPr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Финансовое обеспечение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9 478 826,0  тыс.руб., в том числе: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6 455 550,3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2 329 225,4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694 050,3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В том числе по годам реализации: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lastRenderedPageBreak/>
              <w:t>- средства бюджета города Югорска – 356 343,1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Объем финансирования на 2016 год – 1 446 890,2  тыс. руб., в т.ч: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–364 831,0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Объем финансирования на 2017 год – 1 403 989,8 тыс. руб., в т.ч: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997 772,1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302 111 ,6тыс.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104 106,1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Объем финансирования на 2018*  год – 1 383 217,7 тыс. руб., в т.ч: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315 668,2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Объем финансирования на 2019* год – 1 306 768,2 тыс. руб., в т.ч: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273 168,2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113 536,5 тыс. руб.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Объем финансирования на 2020* год – 1 357 768,2 тыс. руб., в т.ч: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бюджета города Югорска – 324 168,2 тыс. руб.;</w:t>
            </w:r>
          </w:p>
          <w:p w:rsidR="000F01A5" w:rsidRPr="000F01A5" w:rsidRDefault="000F01A5" w:rsidP="000F01A5">
            <w:pPr>
              <w:jc w:val="both"/>
              <w:rPr>
                <w:sz w:val="24"/>
                <w:szCs w:val="24"/>
              </w:rPr>
            </w:pPr>
            <w:r w:rsidRPr="000F01A5">
              <w:rPr>
                <w:sz w:val="24"/>
                <w:szCs w:val="24"/>
              </w:rPr>
              <w:t>- средства от приносящей доход деятельности – 113 536,5 тыс. руб.</w:t>
            </w:r>
          </w:p>
        </w:tc>
      </w:tr>
    </w:tbl>
    <w:p w:rsidR="000F01A5" w:rsidRDefault="000F01A5" w:rsidP="000F01A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 w:rsidRPr="00C26AC3">
        <w:rPr>
          <w:sz w:val="24"/>
          <w:szCs w:val="24"/>
        </w:rPr>
        <w:t>1.2.</w:t>
      </w:r>
      <w:r w:rsidR="00711292">
        <w:rPr>
          <w:sz w:val="24"/>
          <w:szCs w:val="24"/>
        </w:rPr>
        <w:t xml:space="preserve"> </w:t>
      </w:r>
      <w:r>
        <w:rPr>
          <w:sz w:val="24"/>
          <w:szCs w:val="24"/>
        </w:rPr>
        <w:t>В строке 11 графы «Наименование целевых показателей муниципальной программы»  таблицы 1 после слов «основного общего и среднего» дополнить словом «общего».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 2</w:t>
      </w:r>
      <w:r w:rsidRPr="00B46A2D">
        <w:rPr>
          <w:sz w:val="24"/>
          <w:szCs w:val="24"/>
        </w:rPr>
        <w:t xml:space="preserve"> изложить в новой редакц</w:t>
      </w:r>
      <w:r>
        <w:rPr>
          <w:sz w:val="24"/>
          <w:szCs w:val="24"/>
        </w:rPr>
        <w:t>ии (приложение</w:t>
      </w:r>
      <w:r w:rsidRPr="00B46A2D">
        <w:rPr>
          <w:sz w:val="24"/>
          <w:szCs w:val="24"/>
        </w:rPr>
        <w:t>).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33074">
        <w:rPr>
          <w:sz w:val="24"/>
          <w:szCs w:val="24"/>
        </w:rPr>
        <w:t xml:space="preserve">. Опубликовать постановление в </w:t>
      </w:r>
      <w:r>
        <w:rPr>
          <w:sz w:val="24"/>
          <w:szCs w:val="24"/>
        </w:rPr>
        <w:t xml:space="preserve">официальном печатном издании города Югорска и разместить на </w:t>
      </w:r>
      <w:r w:rsidRPr="00833074">
        <w:rPr>
          <w:sz w:val="24"/>
          <w:szCs w:val="24"/>
        </w:rPr>
        <w:t>официальном сайте администрации города Югорска.</w:t>
      </w:r>
    </w:p>
    <w:p w:rsidR="000F01A5" w:rsidRDefault="000F01A5" w:rsidP="000F01A5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952462">
        <w:rPr>
          <w:color w:val="000000"/>
          <w:sz w:val="24"/>
          <w:szCs w:val="24"/>
        </w:rPr>
        <w:t>. </w:t>
      </w:r>
      <w:r>
        <w:rPr>
          <w:sz w:val="24"/>
          <w:szCs w:val="24"/>
        </w:rPr>
        <w:t>Н</w:t>
      </w:r>
      <w:r w:rsidRPr="00833074">
        <w:rPr>
          <w:sz w:val="24"/>
          <w:szCs w:val="24"/>
        </w:rPr>
        <w:t>астоящее постановление вступает в силу</w:t>
      </w:r>
      <w:r>
        <w:rPr>
          <w:sz w:val="24"/>
          <w:szCs w:val="24"/>
        </w:rPr>
        <w:t xml:space="preserve"> после его официального опубликования.</w:t>
      </w:r>
    </w:p>
    <w:p w:rsidR="000F01A5" w:rsidRPr="00952462" w:rsidRDefault="000F01A5" w:rsidP="000F01A5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025781">
        <w:rPr>
          <w:sz w:val="24"/>
          <w:szCs w:val="24"/>
        </w:rPr>
        <w:t xml:space="preserve">4. Контроль за выполнением постановления возложить на заместителя главы города </w:t>
      </w:r>
      <w:r w:rsidR="00711292">
        <w:rPr>
          <w:sz w:val="24"/>
          <w:szCs w:val="24"/>
        </w:rPr>
        <w:t xml:space="preserve">             </w:t>
      </w:r>
      <w:r w:rsidRPr="00025781">
        <w:rPr>
          <w:sz w:val="24"/>
          <w:szCs w:val="24"/>
        </w:rPr>
        <w:t>Т.И. Долгодворову.</w:t>
      </w:r>
    </w:p>
    <w:p w:rsidR="000F01A5" w:rsidRDefault="000F01A5" w:rsidP="000F01A5">
      <w:pPr>
        <w:jc w:val="both"/>
        <w:rPr>
          <w:b/>
          <w:sz w:val="24"/>
          <w:szCs w:val="24"/>
        </w:rPr>
      </w:pPr>
    </w:p>
    <w:p w:rsidR="000F01A5" w:rsidRDefault="000F01A5" w:rsidP="000F01A5">
      <w:pPr>
        <w:jc w:val="both"/>
        <w:rPr>
          <w:b/>
          <w:sz w:val="24"/>
          <w:szCs w:val="24"/>
        </w:rPr>
      </w:pPr>
    </w:p>
    <w:p w:rsidR="000F01A5" w:rsidRDefault="000F01A5" w:rsidP="000F01A5">
      <w:pPr>
        <w:jc w:val="both"/>
        <w:rPr>
          <w:b/>
          <w:sz w:val="24"/>
          <w:szCs w:val="24"/>
        </w:rPr>
      </w:pPr>
    </w:p>
    <w:p w:rsidR="000F01A5" w:rsidRDefault="000F01A5" w:rsidP="000F01A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17660">
        <w:rPr>
          <w:b/>
          <w:sz w:val="24"/>
          <w:szCs w:val="24"/>
        </w:rPr>
        <w:t xml:space="preserve"> города Югорска</w:t>
      </w: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711292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Р.З. Салахов</w:t>
      </w:r>
    </w:p>
    <w:p w:rsidR="000F01A5" w:rsidRDefault="000F01A5" w:rsidP="000F01A5">
      <w:pPr>
        <w:rPr>
          <w:b/>
          <w:sz w:val="24"/>
          <w:szCs w:val="24"/>
        </w:rPr>
      </w:pPr>
    </w:p>
    <w:p w:rsidR="000F01A5" w:rsidRDefault="000F01A5" w:rsidP="000F01A5">
      <w:pPr>
        <w:rPr>
          <w:rStyle w:val="ac"/>
          <w:b w:val="0"/>
          <w:bCs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>
      <w:pPr>
        <w:spacing w:after="200" w:line="276" w:lineRule="auto"/>
        <w:rPr>
          <w:sz w:val="22"/>
          <w:szCs w:val="22"/>
          <w:lang w:eastAsia="en-US"/>
        </w:rPr>
        <w:sectPr w:rsidR="0071129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577"/>
        <w:gridCol w:w="406"/>
        <w:gridCol w:w="151"/>
        <w:gridCol w:w="1125"/>
        <w:gridCol w:w="9"/>
        <w:gridCol w:w="1550"/>
        <w:gridCol w:w="10"/>
        <w:gridCol w:w="837"/>
        <w:gridCol w:w="854"/>
        <w:gridCol w:w="10"/>
        <w:gridCol w:w="271"/>
        <w:gridCol w:w="1074"/>
        <w:gridCol w:w="868"/>
        <w:gridCol w:w="329"/>
        <w:gridCol w:w="9"/>
        <w:gridCol w:w="801"/>
        <w:gridCol w:w="465"/>
        <w:gridCol w:w="10"/>
        <w:gridCol w:w="1220"/>
        <w:gridCol w:w="1500"/>
        <w:gridCol w:w="1500"/>
        <w:gridCol w:w="1262"/>
      </w:tblGrid>
      <w:tr w:rsidR="00711292" w:rsidRP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 w:val="restart"/>
            <w:noWrap/>
            <w:hideMark/>
          </w:tcPr>
          <w:p w:rsidR="00711292" w:rsidRPr="00711292" w:rsidRDefault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Приложение  </w:t>
            </w:r>
          </w:p>
          <w:p w:rsidR="00711292" w:rsidRPr="00711292" w:rsidRDefault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к постановлению </w:t>
            </w:r>
          </w:p>
          <w:p w:rsidR="00711292" w:rsidRPr="00711292" w:rsidRDefault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администрации города Югорска </w:t>
            </w:r>
          </w:p>
          <w:p w:rsidR="00711292" w:rsidRPr="00711292" w:rsidRDefault="007E02BB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от 22 декабря 2016 года № 3302 </w:t>
            </w:r>
            <w:r w:rsidR="00711292" w:rsidRPr="00711292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1292" w:rsidRPr="00711292" w:rsidRDefault="00711292" w:rsidP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711292" w:rsidRP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Pr="00711292" w:rsidRDefault="00711292" w:rsidP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1292" w:rsidRP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Pr="00711292" w:rsidRDefault="00711292" w:rsidP="00711292">
            <w:pPr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11292" w:rsidTr="00711292">
        <w:trPr>
          <w:trHeight w:val="30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Default="00711292" w:rsidP="0071129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11292" w:rsidTr="00711292">
        <w:trPr>
          <w:trHeight w:val="36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</w:p>
        </w:tc>
      </w:tr>
      <w:tr w:rsidR="00711292" w:rsidTr="00711292">
        <w:trPr>
          <w:trHeight w:val="360"/>
        </w:trPr>
        <w:tc>
          <w:tcPr>
            <w:tcW w:w="1144" w:type="dxa"/>
            <w:gridSpan w:val="3"/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61" w:type="dxa"/>
            <w:gridSpan w:val="21"/>
            <w:vMerge/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noWrap/>
            <w:hideMark/>
          </w:tcPr>
          <w:p w:rsidR="00711292" w:rsidRPr="00711292" w:rsidRDefault="007112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bCs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noWrap/>
            <w:hideMark/>
          </w:tcPr>
          <w:p w:rsidR="00711292" w:rsidRPr="00711292" w:rsidRDefault="0071129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1292">
              <w:rPr>
                <w:b/>
                <w:bCs/>
                <w:color w:val="000000"/>
                <w:sz w:val="24"/>
                <w:szCs w:val="24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711292" w:rsidTr="00711292">
        <w:trPr>
          <w:trHeight w:val="28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№ основного мероприятия 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25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711292" w:rsidTr="00711292">
        <w:trPr>
          <w:trHeight w:val="1095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2016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2019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2020</w:t>
            </w:r>
          </w:p>
        </w:tc>
      </w:tr>
      <w:tr w:rsidR="00711292" w:rsidTr="000037E4">
        <w:trPr>
          <w:trHeight w:val="3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711292" w:rsidTr="00711292">
        <w:trPr>
          <w:trHeight w:val="585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I: Модернизация системы  общего и дополнительного образования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Развитие общего и дополнительного образования (№ </w:t>
            </w:r>
            <w:r>
              <w:rPr>
                <w:color w:val="000000"/>
                <w:lang w:eastAsia="ru-RU"/>
              </w:rPr>
              <w:lastRenderedPageBreak/>
              <w:t>1)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2 266,3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1 789,4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476,9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21 463,0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3 425,9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2 733,0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2 911,3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</w:tr>
      <w:tr w:rsidR="00711292" w:rsidTr="00711292">
        <w:trPr>
          <w:trHeight w:val="5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23 729,3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5 215,3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3 209,9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2 911,3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3 098,2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</w:t>
            </w:r>
          </w:p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</w:p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</w:p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  <w:p w:rsidR="00711292" w:rsidRDefault="00711292">
            <w:pPr>
              <w:rPr>
                <w:color w:val="000000"/>
                <w:lang w:eastAsia="ru-RU"/>
              </w:rPr>
            </w:pPr>
          </w:p>
          <w:p w:rsidR="00711292" w:rsidRDefault="00711292">
            <w:pPr>
              <w:rPr>
                <w:color w:val="000000"/>
                <w:lang w:eastAsia="ru-RU"/>
              </w:rPr>
            </w:pPr>
          </w:p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6 195 792,3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766 889,3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863 765,6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939 805,8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954 881,1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916 105,5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877 172,5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877 172,5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1 561 973,2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286 801,5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254 748,1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262 511,9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201 613,1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178 766,2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188 766,2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188 766,2 </w:t>
            </w:r>
          </w:p>
        </w:tc>
      </w:tr>
      <w:tr w:rsidR="00711292" w:rsidTr="00711292">
        <w:trPr>
          <w:trHeight w:val="51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655 187,2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83 559,5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80 287,3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101 465,5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105 882,5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110 668,8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110 668,8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8 412 952,7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1 116 345,6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1 202 073,2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1 282 605,0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1 257 959,7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1 200 754,2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1 176 607,5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1 176 607,5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8 436 682,0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1 121 560,9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1 205 283,1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1 285 516,3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1 261 057,9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1 203 852,4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1 179 705,7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1 179 705,7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6 198 058,6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768 678,7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864 242,5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939 805,8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954 881,1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916 105,5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877 172,5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1 583 436,2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290 227,4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257 481,1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265 423,2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204 711,3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181 864,4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191 864,4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191 864,4 </w:t>
            </w:r>
          </w:p>
        </w:tc>
      </w:tr>
      <w:tr w:rsidR="00711292" w:rsidTr="00711292">
        <w:trPr>
          <w:trHeight w:val="300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655 187,2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80 287,3 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101 465,5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105 882,5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110 668,8 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50,0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189,4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68,0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45,0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349,4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128,0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126,4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95,0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20 705,3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3 178,4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20 705,3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3 119,3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3 097,4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3 178,4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21 054,7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3 223,8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3 273,4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50,0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20 894,7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3 173,8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3 223,4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3 198,8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2 703,8 </w:t>
            </w:r>
          </w:p>
        </w:tc>
      </w:tr>
      <w:tr w:rsidR="00711292" w:rsidTr="00711292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711292">
        <w:trPr>
          <w:trHeight w:val="300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III: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245 200,8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20 573,8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27 102,0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25 961,0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42 891,0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515 048,4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65 841,3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76 919,3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76 523,5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76 464,3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73 100,0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73 100,0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73 100,0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760 249,2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86 415,1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104 021,3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102 484,5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119 355,3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115 991,0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115 991,0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115 991,0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53 112,4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12 390,6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14 000,8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53 112,4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8 921,5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7 799,5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12 390,6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14 000,8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4 000,0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3 084,1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1 700,0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1 384,1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25 521,4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8 424,1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10 969,4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3 681,9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1 446,0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500,0 </w:t>
            </w:r>
          </w:p>
        </w:tc>
      </w:tr>
      <w:tr w:rsidR="00711292" w:rsidTr="000037E4">
        <w:trPr>
          <w:trHeight w:val="6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38 863,1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908,3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26 908,3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2 640,6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2 670,5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2 867,7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2 867,7 </w:t>
            </w:r>
          </w:p>
        </w:tc>
      </w:tr>
      <w:tr w:rsidR="00711292" w:rsidTr="007E02BB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67 468,6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11 032,4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12 353,5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30 590,2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4 086,6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2 670,5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3 367,7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3 367,7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  <w:p w:rsidR="007E02BB" w:rsidRDefault="007E02BB">
            <w:pPr>
              <w:jc w:val="center"/>
              <w:rPr>
                <w:color w:val="000000"/>
                <w:lang w:eastAsia="ru-RU"/>
              </w:rPr>
            </w:pPr>
          </w:p>
          <w:p w:rsidR="007E02BB" w:rsidRDefault="007E02BB">
            <w:pPr>
              <w:jc w:val="center"/>
              <w:rPr>
                <w:color w:val="000000"/>
                <w:lang w:eastAsia="ru-RU"/>
              </w:rPr>
            </w:pPr>
          </w:p>
          <w:p w:rsidR="007E02BB" w:rsidRDefault="007E02B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Проектирование, </w:t>
            </w:r>
            <w:r>
              <w:rPr>
                <w:color w:val="000000"/>
                <w:lang w:eastAsia="ru-RU"/>
              </w:rPr>
              <w:lastRenderedPageBreak/>
              <w:t>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ДЖК и СК</w:t>
            </w:r>
          </w:p>
          <w:p w:rsidR="007E02BB" w:rsidRDefault="007E02BB">
            <w:pPr>
              <w:rPr>
                <w:color w:val="000000"/>
                <w:lang w:eastAsia="ru-RU"/>
              </w:rPr>
            </w:pPr>
          </w:p>
          <w:p w:rsidR="007E02BB" w:rsidRDefault="007E02BB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9 046,8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9 046,8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122 715,3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91,4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51 000,0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131 762,1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 xml:space="preserve">9 138,2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51 000,0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1 021 089,3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122 702,5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124 174,3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158 100,5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139 733,1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176 661,5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124 358,7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175 358,7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257 331,7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22 273,8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28 486,1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35 007,8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42 891,0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724 894,5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99 520,4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95 688,2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96 184,4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94 201,5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131 100,0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78 600,0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129 600,0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38 863,1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26 908,3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2 640,6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2 670,5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2 867,7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2 867,7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9 478 826,0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1 247 510,7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1 332 681,2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1 446 890,2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1 403 989,8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1 383 217,7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1 306 768,2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1 357 768,2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6 455 550,3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892 778,6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974 863,6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997 772,1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958 996,5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2 329 225,4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356 343,1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364 831,0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302 111,6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315 668,2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273 168,2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324 168,2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694 050,3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83 559,5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107 195,6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104 106,1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108 553,0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</w:tr>
      <w:tr w:rsidR="00711292" w:rsidTr="00711292">
        <w:trPr>
          <w:trHeight w:val="315"/>
        </w:trPr>
        <w:tc>
          <w:tcPr>
            <w:tcW w:w="154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в том числе:</w:t>
            </w:r>
          </w:p>
        </w:tc>
      </w:tr>
      <w:tr w:rsidR="00711292" w:rsidTr="000037E4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8 497,0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3 497,0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9 338 566,9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1 231 177,2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1 332 681,2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1 434 255,0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1 401 699,4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1 327 217,7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1 305 768,2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1 305 768,2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6 446 503,5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892 778,6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965 816,8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997 772,1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958 996,5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920 063,5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2 198 013,1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356 343,1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361 242,6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299 821,2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259 668,2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272 168,2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272 168,2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694 050,3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83 559,5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107 195,6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104 106,1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108 553,0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113 536,5 </w:t>
            </w:r>
          </w:p>
        </w:tc>
      </w:tr>
      <w:tr w:rsidR="00711292" w:rsidTr="000037E4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140 259,1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12 635,2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56 000,0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9 046,8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9 046,8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</w:tr>
      <w:tr w:rsidR="00711292" w:rsidTr="000037E4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131 212,3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3 588,4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2 290,4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56 000,0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1 000,0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52 000,0 </w:t>
            </w:r>
          </w:p>
        </w:tc>
      </w:tr>
      <w:tr w:rsidR="00711292" w:rsidTr="000037E4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0,0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92" w:rsidRDefault="0071129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</w:tbl>
    <w:p w:rsidR="00711292" w:rsidRPr="00711292" w:rsidRDefault="00711292" w:rsidP="00711292">
      <w:pPr>
        <w:tabs>
          <w:tab w:val="left" w:pos="14317"/>
        </w:tabs>
        <w:rPr>
          <w:rFonts w:ascii="Calibri" w:hAnsi="Calibri"/>
          <w:sz w:val="22"/>
          <w:szCs w:val="22"/>
          <w:lang w:eastAsia="en-US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711292" w:rsidRDefault="00711292" w:rsidP="000F01A5">
      <w:pPr>
        <w:pStyle w:val="TimesNewRoman"/>
        <w:jc w:val="both"/>
        <w:rPr>
          <w:rStyle w:val="ac"/>
          <w:b w:val="0"/>
          <w:bCs w:val="0"/>
          <w:sz w:val="20"/>
          <w:szCs w:val="20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71129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7E4"/>
    <w:rsid w:val="000713DF"/>
    <w:rsid w:val="000B5725"/>
    <w:rsid w:val="000C2EA5"/>
    <w:rsid w:val="000F01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1292"/>
    <w:rsid w:val="00713C1C"/>
    <w:rsid w:val="007268A4"/>
    <w:rsid w:val="007D5A8E"/>
    <w:rsid w:val="007E02BB"/>
    <w:rsid w:val="007E29A5"/>
    <w:rsid w:val="007F4A15"/>
    <w:rsid w:val="008267F4"/>
    <w:rsid w:val="008478F4"/>
    <w:rsid w:val="00886003"/>
    <w:rsid w:val="008B14C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0F01A5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0F01A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0F01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0F01A5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0F01A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0F01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2016-12-23T07:57:00Z</cp:lastPrinted>
  <dcterms:created xsi:type="dcterms:W3CDTF">2019-02-01T12:41:00Z</dcterms:created>
  <dcterms:modified xsi:type="dcterms:W3CDTF">2019-02-01T12:41:00Z</dcterms:modified>
</cp:coreProperties>
</file>