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EC" w:rsidRPr="00272DEC" w:rsidRDefault="00D6588A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03.25pt;margin-top:.3pt;width:200.65pt;height:58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<v:textbox style="mso-next-textbox:#Поле 16" inset="7.45pt,3.85pt,7.45pt,3.85pt">
              <w:txbxContent>
                <w:p w:rsidR="00642816" w:rsidRDefault="00642816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«В регистр»</w:t>
                  </w:r>
                </w:p>
                <w:p w:rsidR="00642816" w:rsidRPr="00F04FAA" w:rsidRDefault="00642816" w:rsidP="00272DE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3C5B">
        <w:rPr>
          <w:rFonts w:ascii="Times New Roman" w:eastAsia="Calibri" w:hAnsi="Times New Roman" w:cs="Times New Roman"/>
          <w:sz w:val="24"/>
          <w:szCs w:val="24"/>
        </w:rPr>
        <w:t xml:space="preserve">29 апреля 2019 года          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</w:t>
      </w:r>
      <w:r w:rsidR="003C3C5B">
        <w:rPr>
          <w:rFonts w:ascii="Times New Roman" w:eastAsia="Calibri" w:hAnsi="Times New Roman" w:cs="Times New Roman"/>
          <w:sz w:val="24"/>
          <w:szCs w:val="24"/>
        </w:rPr>
        <w:t>885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30.10.2018 № 3004 «О муниципальной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образования»</w:t>
      </w: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272DEC" w:rsidP="006D1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18.10.2018 № 2876 </w:t>
      </w:r>
      <w:r w:rsidR="00A8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модельной</w:t>
      </w:r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6D1D6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6D1D67" w:rsidRPr="006D1D67">
        <w:rPr>
          <w:rFonts w:ascii="Times New Roman" w:hAnsi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6D1D67">
        <w:rPr>
          <w:rFonts w:ascii="Times New Roman" w:hAnsi="Times New Roman"/>
          <w:sz w:val="24"/>
          <w:szCs w:val="24"/>
        </w:rPr>
        <w:t>:</w:t>
      </w:r>
    </w:p>
    <w:p w:rsidR="00642816" w:rsidRPr="00C63DC7" w:rsidRDefault="006D1D67" w:rsidP="006D1D67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42816" w:rsidRPr="00C63DC7">
        <w:rPr>
          <w:rFonts w:ascii="Times New Roman" w:hAnsi="Times New Roman"/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 w:rsidR="00642816"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="00642816" w:rsidRPr="00C63DC7">
        <w:rPr>
          <w:rFonts w:ascii="Times New Roman" w:hAnsi="Times New Roman"/>
          <w:sz w:val="24"/>
          <w:szCs w:val="24"/>
        </w:rPr>
        <w:t xml:space="preserve"> от </w:t>
      </w:r>
      <w:r w:rsidR="00642816">
        <w:rPr>
          <w:rFonts w:ascii="Times New Roman" w:hAnsi="Times New Roman"/>
          <w:sz w:val="24"/>
          <w:szCs w:val="24"/>
        </w:rPr>
        <w:t>30.10.2018</w:t>
      </w:r>
      <w:r w:rsidR="00642816" w:rsidRPr="00C63DC7">
        <w:rPr>
          <w:rFonts w:ascii="Times New Roman" w:hAnsi="Times New Roman"/>
          <w:sz w:val="24"/>
          <w:szCs w:val="24"/>
        </w:rPr>
        <w:t xml:space="preserve"> </w:t>
      </w:r>
      <w:r w:rsidR="00FA25EF">
        <w:rPr>
          <w:rFonts w:ascii="Times New Roman" w:hAnsi="Times New Roman"/>
          <w:sz w:val="24"/>
          <w:szCs w:val="24"/>
        </w:rPr>
        <w:t xml:space="preserve">          </w:t>
      </w:r>
      <w:r w:rsidR="00642816" w:rsidRPr="00C63DC7">
        <w:rPr>
          <w:rFonts w:ascii="Times New Roman" w:hAnsi="Times New Roman"/>
          <w:sz w:val="24"/>
          <w:szCs w:val="24"/>
        </w:rPr>
        <w:t xml:space="preserve">№ </w:t>
      </w:r>
      <w:r w:rsidR="00642816">
        <w:rPr>
          <w:rFonts w:ascii="Times New Roman" w:hAnsi="Times New Roman"/>
          <w:sz w:val="24"/>
          <w:szCs w:val="24"/>
        </w:rPr>
        <w:t>3004</w:t>
      </w:r>
      <w:r w:rsidR="00642816" w:rsidRPr="00C63DC7">
        <w:rPr>
          <w:rFonts w:ascii="Times New Roman" w:hAnsi="Times New Roman"/>
          <w:sz w:val="24"/>
          <w:szCs w:val="24"/>
        </w:rPr>
        <w:t xml:space="preserve"> «О муниципальной программе города </w:t>
      </w:r>
      <w:proofErr w:type="spellStart"/>
      <w:r w:rsidR="00642816"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="00642816" w:rsidRPr="00C63DC7">
        <w:rPr>
          <w:rFonts w:ascii="Times New Roman" w:hAnsi="Times New Roman"/>
          <w:sz w:val="24"/>
          <w:szCs w:val="24"/>
        </w:rPr>
        <w:t xml:space="preserve"> «Развитие образования» следующие изменения:</w:t>
      </w:r>
    </w:p>
    <w:p w:rsidR="00642816" w:rsidRPr="007C53CD" w:rsidRDefault="00642816" w:rsidP="007C53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1.1.</w:t>
      </w:r>
      <w:r w:rsidRPr="00642816">
        <w:rPr>
          <w:rFonts w:ascii="Times New Roman" w:hAnsi="Times New Roman"/>
          <w:sz w:val="24"/>
          <w:szCs w:val="24"/>
        </w:rPr>
        <w:t xml:space="preserve"> </w:t>
      </w:r>
      <w:r w:rsidR="007C53CD">
        <w:rPr>
          <w:rFonts w:ascii="Times New Roman" w:hAnsi="Times New Roman"/>
          <w:sz w:val="24"/>
          <w:szCs w:val="24"/>
        </w:rPr>
        <w:t>Строки «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утверждения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номер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CD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нормативного правового акта)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2816">
        <w:rPr>
          <w:rFonts w:ascii="Times New Roman" w:hAnsi="Times New Roman"/>
          <w:sz w:val="24"/>
          <w:szCs w:val="24"/>
        </w:rPr>
        <w:t>«</w:t>
      </w:r>
      <w:r w:rsidRPr="00642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42816">
        <w:rPr>
          <w:rFonts w:ascii="Times New Roman" w:hAnsi="Times New Roman"/>
          <w:sz w:val="24"/>
          <w:szCs w:val="24"/>
        </w:rPr>
        <w:t>»</w:t>
      </w:r>
      <w:r w:rsidR="006D1D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портфеля проектов, проекта, направленных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реализацию в городе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 (программ) Российской Федерации, реализуемых в составе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муниципальной программы </w:t>
      </w:r>
      <w:r w:rsidRPr="00642816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6D1D67" w:rsidRDefault="006D1D67" w:rsidP="00642816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7C53CD" w:rsidRPr="00272DEC" w:rsidTr="005737FD">
        <w:tc>
          <w:tcPr>
            <w:tcW w:w="2897" w:type="dxa"/>
            <w:vAlign w:val="center"/>
          </w:tcPr>
          <w:p w:rsidR="007C53CD" w:rsidRPr="00272DEC" w:rsidRDefault="007C53CD" w:rsidP="007C53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  <w:p w:rsidR="007C53CD" w:rsidRPr="00272DEC" w:rsidRDefault="007C53CD" w:rsidP="007C53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  <w:p w:rsidR="007C53CD" w:rsidRPr="00272DEC" w:rsidRDefault="007C53CD" w:rsidP="007C53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нормативного правового акта)</w:t>
            </w:r>
          </w:p>
        </w:tc>
        <w:tc>
          <w:tcPr>
            <w:tcW w:w="6946" w:type="dxa"/>
          </w:tcPr>
          <w:p w:rsidR="007C53CD" w:rsidRPr="00272DEC" w:rsidRDefault="007C53CD" w:rsidP="007C53CD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72DEC">
              <w:rPr>
                <w:rFonts w:ascii="Times New Roman" w:hAnsi="Times New Roman"/>
                <w:sz w:val="24"/>
              </w:rPr>
              <w:t xml:space="preserve">Постановление администрации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 xml:space="preserve">31.10.2018  </w:t>
            </w:r>
            <w:r w:rsidRPr="00272DEC"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 3004</w:t>
            </w:r>
            <w:r w:rsidRPr="00272DEC">
              <w:rPr>
                <w:rFonts w:ascii="Times New Roman" w:hAnsi="Times New Roman"/>
                <w:sz w:val="24"/>
              </w:rPr>
              <w:t xml:space="preserve"> «О муниципальной программе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«Развитие образования»</w:t>
            </w:r>
          </w:p>
        </w:tc>
      </w:tr>
    </w:tbl>
    <w:p w:rsidR="007C53CD" w:rsidRDefault="007C53CD" w:rsidP="007C53CD">
      <w:pPr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»;</w:t>
      </w:r>
    </w:p>
    <w:p w:rsidR="007C53CD" w:rsidRPr="00642816" w:rsidRDefault="007C53CD" w:rsidP="007C53C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B45CDD" w:rsidRPr="00272DEC" w:rsidTr="00237755">
        <w:tc>
          <w:tcPr>
            <w:tcW w:w="2897" w:type="dxa"/>
            <w:vAlign w:val="center"/>
          </w:tcPr>
          <w:p w:rsidR="00BA2452" w:rsidRDefault="00BA2452" w:rsidP="00237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CDD" w:rsidRPr="00272DEC" w:rsidRDefault="00B45CDD" w:rsidP="00237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20 309 554,2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рублей, в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том числе по годам реализации: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 2 056 903,1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1 625 408,5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1 630 605,5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1 629 219,6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1 637 328,0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1 643 429,4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1 658 630,6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272DEC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8 428 029,5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  <w:tr w:rsidR="00B45CDD" w:rsidRPr="003702D7" w:rsidTr="002377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DD" w:rsidRPr="00272DEC" w:rsidRDefault="00B45CDD" w:rsidP="002377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Параметры финансового обеспечения портфеля проектов, проекта,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DD" w:rsidRPr="00642816" w:rsidRDefault="00B45CDD" w:rsidP="002377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финансового обеспечения портфеля проектов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1 298 038,6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 559 686,4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145 671,1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146 029,2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147 296,2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4B372D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149 630,0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B45CDD" w:rsidRPr="00642816" w:rsidRDefault="00B45CDD" w:rsidP="00237755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149 725,7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642816" w:rsidRPr="00FA25EF" w:rsidRDefault="006D1D67" w:rsidP="006D1D67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E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642816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B45CDD">
        <w:rPr>
          <w:rFonts w:ascii="Times New Roman" w:hAnsi="Times New Roman"/>
          <w:sz w:val="24"/>
          <w:szCs w:val="24"/>
        </w:rPr>
        <w:t>Таблиц</w:t>
      </w:r>
      <w:r w:rsidR="00FA25EF">
        <w:rPr>
          <w:rFonts w:ascii="Times New Roman" w:hAnsi="Times New Roman"/>
          <w:sz w:val="24"/>
          <w:szCs w:val="24"/>
        </w:rPr>
        <w:t>у</w:t>
      </w:r>
      <w:r w:rsidR="006D1D67">
        <w:rPr>
          <w:rFonts w:ascii="Times New Roman" w:hAnsi="Times New Roman"/>
          <w:sz w:val="24"/>
          <w:szCs w:val="24"/>
        </w:rPr>
        <w:t xml:space="preserve"> 2</w:t>
      </w:r>
      <w:r w:rsidR="00B45CDD">
        <w:rPr>
          <w:rFonts w:ascii="Times New Roman" w:hAnsi="Times New Roman"/>
          <w:sz w:val="24"/>
          <w:szCs w:val="24"/>
        </w:rPr>
        <w:t xml:space="preserve"> </w:t>
      </w:r>
      <w:r w:rsidR="00B45CDD" w:rsidRPr="00310886">
        <w:rPr>
          <w:rFonts w:ascii="Times New Roman" w:hAnsi="Times New Roman"/>
          <w:sz w:val="24"/>
          <w:szCs w:val="24"/>
        </w:rPr>
        <w:t>изложить в новой редакции (приложение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="00B45CDD">
        <w:rPr>
          <w:rFonts w:ascii="Times New Roman" w:hAnsi="Times New Roman"/>
          <w:sz w:val="24"/>
          <w:szCs w:val="24"/>
        </w:rPr>
        <w:t>).</w:t>
      </w:r>
    </w:p>
    <w:p w:rsidR="007C53CD" w:rsidRPr="00272DEC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1.3. Таблицу 3 изложить в новой редакции (приложение 2).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постановление в официальном печатном издании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F241F" w:rsidRPr="00AF241F">
        <w:t xml:space="preserve"> 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</w:t>
      </w:r>
      <w:bookmarkStart w:id="0" w:name="_GoBack"/>
      <w:bookmarkEnd w:id="0"/>
      <w:r w:rsidR="00E77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 w:rsid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города Югорска Т.И. Долгодворову.</w:t>
      </w:r>
    </w:p>
    <w:p w:rsidR="00272DEC" w:rsidRPr="00272DEC" w:rsidRDefault="00272DEC" w:rsidP="003D44F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  <w:r w:rsidRPr="00272D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9C28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9C2818" w:rsidSect="006D1D67">
          <w:pgSz w:w="11906" w:h="16838"/>
          <w:pgMar w:top="680" w:right="567" w:bottom="567" w:left="1134" w:header="709" w:footer="709" w:gutter="0"/>
          <w:cols w:space="708"/>
          <w:docGrid w:linePitch="360"/>
        </w:sectPr>
      </w:pPr>
      <w:bookmarkStart w:id="1" w:name="RANGE!A1:N107"/>
      <w:bookmarkEnd w:id="1"/>
    </w:p>
    <w:tbl>
      <w:tblPr>
        <w:tblW w:w="16160" w:type="dxa"/>
        <w:tblInd w:w="-34" w:type="dxa"/>
        <w:tblLayout w:type="fixed"/>
        <w:tblLook w:val="04A0"/>
      </w:tblPr>
      <w:tblGrid>
        <w:gridCol w:w="568"/>
        <w:gridCol w:w="918"/>
        <w:gridCol w:w="1491"/>
        <w:gridCol w:w="1256"/>
        <w:gridCol w:w="1559"/>
        <w:gridCol w:w="1296"/>
        <w:gridCol w:w="1200"/>
        <w:gridCol w:w="1068"/>
        <w:gridCol w:w="1276"/>
        <w:gridCol w:w="1240"/>
        <w:gridCol w:w="1124"/>
        <w:gridCol w:w="1038"/>
        <w:gridCol w:w="896"/>
        <w:gridCol w:w="1230"/>
      </w:tblGrid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 1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>от_______№</w:t>
            </w:r>
            <w:proofErr w:type="spellEnd"/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______ 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ind w:left="102" w:hanging="10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9C2818" w:rsidRPr="009C2818" w:rsidTr="009C2818">
        <w:trPr>
          <w:trHeight w:val="315"/>
        </w:trPr>
        <w:tc>
          <w:tcPr>
            <w:tcW w:w="16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9C2818" w:rsidRPr="009C2818" w:rsidTr="009C2818">
        <w:trPr>
          <w:trHeight w:val="1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17242428,6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1430903,4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1421181,4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1425935,3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1423193,3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1428875,9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1434785,8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1440932,1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7236621,4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13520157,9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1128497,1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5625113,0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1893763,2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176108,2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1828507,5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126298,1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142065,7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147748,3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159804,5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830983,4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индивидуальной траектории развития личности ребенка с учетом его потребностей, интересов и способностей (показатели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867936,1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76407,6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71977,4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360000,2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645847,8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58544,6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266956,0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222088,3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93044,2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открытости муниципальной системы образования (показатели 3,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1391780,0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116165,0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158825,0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1010600,0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образовательных организаций (показатели 6,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52769,4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3644,4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(показатель 10)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665301,5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капитальных ремонтов, ремонтов зданий, сооружений, предназначенных для размещения муниципальных образовательных организаций (показатели 6, 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20309554,2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2056903,1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1625408,5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1630605,5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1629219,6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1637328,0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1643429,4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1658630,6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8428029,5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14291139,7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1550063,9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3915049,3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359033,7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307743,3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318840,3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1696081,5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2103365,2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147805,5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669553,5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413832,9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280451,7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Портфели проектов, проекты направленные, в том числе на реализацию в городе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национальных проектов и программ Российской </w:t>
            </w:r>
            <w:proofErr w:type="gram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1298038,6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559686,4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776077,8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453597,8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400895,2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86626,4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455501,7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413832,9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66399,9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18797463,8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1497216,7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1484576,3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1481923,4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1487698,0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1493703,7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13515061,9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1096466,1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3300102,3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272407,3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1982299,6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128343,3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144366,8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150141,4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156147,1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исполнитель: Управление образования администрации города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19640000,7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1643070,2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1618336,6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1623286,1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1621621,3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1627488,4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1633589,8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13902037,9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1160962,1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3634597,6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334302,6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2103365,2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147805,5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665301,5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9C2818" w:rsidRDefault="009C28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32" w:type="dxa"/>
        <w:tblInd w:w="94" w:type="dxa"/>
        <w:tblLayout w:type="fixed"/>
        <w:tblLook w:val="04A0"/>
      </w:tblPr>
      <w:tblGrid>
        <w:gridCol w:w="486"/>
        <w:gridCol w:w="1513"/>
        <w:gridCol w:w="1624"/>
        <w:gridCol w:w="927"/>
        <w:gridCol w:w="2268"/>
        <w:gridCol w:w="993"/>
        <w:gridCol w:w="1417"/>
        <w:gridCol w:w="1066"/>
        <w:gridCol w:w="966"/>
        <w:gridCol w:w="803"/>
        <w:gridCol w:w="851"/>
        <w:gridCol w:w="966"/>
        <w:gridCol w:w="966"/>
        <w:gridCol w:w="1186"/>
      </w:tblGrid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RANGE!A1:N83"/>
            <w:bookmarkEnd w:id="2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  2</w:t>
            </w:r>
          </w:p>
        </w:tc>
      </w:tr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946D9" w:rsidRPr="00B946D9" w:rsidTr="00B946D9">
        <w:trPr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>от_______№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lang w:eastAsia="ru-RU"/>
              </w:rPr>
              <w:t xml:space="preserve">______ </w:t>
            </w:r>
          </w:p>
        </w:tc>
      </w:tr>
      <w:tr w:rsidR="00B946D9" w:rsidRPr="00B946D9" w:rsidTr="00B946D9">
        <w:trPr>
          <w:trHeight w:val="3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B946D9" w:rsidRPr="00B946D9" w:rsidTr="00B946D9">
        <w:trPr>
          <w:trHeight w:val="1065"/>
        </w:trPr>
        <w:tc>
          <w:tcPr>
            <w:tcW w:w="160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Портфели проектов и проекты, </w:t>
            </w:r>
            <w:proofErr w:type="gramStart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 реализацию национальных и федеральных проектов Российской Федерации и Ханты-Мансийского автономного округа –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Югры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муниципальных проектов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&lt;1&gt;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&lt;2&gt;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&lt;3&gt;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&lt;4&gt;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&lt;5&gt;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&lt;6&gt;</w:t>
            </w:r>
          </w:p>
        </w:tc>
      </w:tr>
      <w:tr w:rsidR="00B946D9" w:rsidRPr="00B946D9" w:rsidTr="00B946D9">
        <w:trPr>
          <w:trHeight w:val="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946D9" w:rsidRPr="00B946D9" w:rsidTr="00B946D9">
        <w:trPr>
          <w:trHeight w:val="255"/>
        </w:trPr>
        <w:tc>
          <w:tcPr>
            <w:tcW w:w="160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"Образование"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школа (показатели 4, 6, 7, 10)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объединений) в развитие системы общего образования, а также за счет обновления материально-технической базы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6462,0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2245,7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1945,7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 (показатели 5, 8, 9)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435958,5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76407,6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</w:tr>
      <w:tr w:rsidR="00B946D9" w:rsidRPr="00B946D9" w:rsidTr="00B946D9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325500,6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58544,6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</w:tr>
      <w:tr w:rsidR="00B946D9" w:rsidRPr="00B946D9" w:rsidTr="00B946D9">
        <w:trPr>
          <w:trHeight w:val="9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семей, имеющих детей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(цель муниципальной программы "Развитие образования)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180486,0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180486,0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8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будущего (показатель 1)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837092,1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145209,5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144734,0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144829,7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358426,5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66147,3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"Демография"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Содействие занятости женщин - создание условий дошкольного 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для детей в возрасте до трех лет (показатели 2, 3)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доступности дошкольного образования для детей в возрасте до трех лет, а также </w:t>
            </w: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стимулирования создания дополнительных ме</w:t>
            </w: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в гр</w:t>
            </w:r>
            <w:proofErr w:type="gramEnd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уппах кратковременного пребывания детей дошкольного возраста (цель муниципальной программы "Развитие образования)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431570,5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460946,5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414476,9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418477,8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393997,8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946D9" w:rsidRPr="00B946D9" w:rsidTr="00B946D9">
        <w:trPr>
          <w:trHeight w:val="255"/>
        </w:trPr>
        <w:tc>
          <w:tcPr>
            <w:tcW w:w="78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1298038,6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559686,4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</w:tr>
      <w:tr w:rsidR="00B946D9" w:rsidRPr="00B946D9" w:rsidTr="00B946D9">
        <w:trPr>
          <w:trHeight w:val="510"/>
        </w:trPr>
        <w:tc>
          <w:tcPr>
            <w:tcW w:w="78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776077,8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453597,8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</w:tr>
      <w:tr w:rsidR="00B946D9" w:rsidRPr="00B946D9" w:rsidTr="00B946D9">
        <w:trPr>
          <w:trHeight w:val="255"/>
        </w:trPr>
        <w:tc>
          <w:tcPr>
            <w:tcW w:w="78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400895,2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86626,4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B946D9" w:rsidRPr="00B946D9" w:rsidTr="00B946D9">
        <w:trPr>
          <w:trHeight w:val="510"/>
        </w:trPr>
        <w:tc>
          <w:tcPr>
            <w:tcW w:w="78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D9" w:rsidRPr="00B946D9" w:rsidRDefault="00B946D9" w:rsidP="00B9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6D9" w:rsidRPr="00B946D9" w:rsidTr="00B946D9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D9" w:rsidRPr="00B946D9" w:rsidRDefault="00B946D9" w:rsidP="00B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46D9" w:rsidRDefault="00B946D9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B946D9" w:rsidSect="009C281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6A3"/>
    <w:rsid w:val="00005BEF"/>
    <w:rsid w:val="00026947"/>
    <w:rsid w:val="00060794"/>
    <w:rsid w:val="00060C4C"/>
    <w:rsid w:val="00062C34"/>
    <w:rsid w:val="00065815"/>
    <w:rsid w:val="00074421"/>
    <w:rsid w:val="0008648B"/>
    <w:rsid w:val="000C038A"/>
    <w:rsid w:val="000D2248"/>
    <w:rsid w:val="000D5108"/>
    <w:rsid w:val="000E4D0B"/>
    <w:rsid w:val="001142A4"/>
    <w:rsid w:val="0012469D"/>
    <w:rsid w:val="00130E31"/>
    <w:rsid w:val="00167C98"/>
    <w:rsid w:val="00181218"/>
    <w:rsid w:val="00184A3B"/>
    <w:rsid w:val="001911F4"/>
    <w:rsid w:val="001A077E"/>
    <w:rsid w:val="001C0CD4"/>
    <w:rsid w:val="001C2B52"/>
    <w:rsid w:val="001D1C45"/>
    <w:rsid w:val="001F3F24"/>
    <w:rsid w:val="001F7D8F"/>
    <w:rsid w:val="00202A92"/>
    <w:rsid w:val="00203510"/>
    <w:rsid w:val="00205915"/>
    <w:rsid w:val="0021218F"/>
    <w:rsid w:val="00214060"/>
    <w:rsid w:val="002178F2"/>
    <w:rsid w:val="0022663C"/>
    <w:rsid w:val="00234C13"/>
    <w:rsid w:val="00236F4B"/>
    <w:rsid w:val="00237755"/>
    <w:rsid w:val="00251761"/>
    <w:rsid w:val="00254FA7"/>
    <w:rsid w:val="002646A3"/>
    <w:rsid w:val="00272DEC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303979"/>
    <w:rsid w:val="0030604D"/>
    <w:rsid w:val="003123FE"/>
    <w:rsid w:val="00347F0B"/>
    <w:rsid w:val="003702D7"/>
    <w:rsid w:val="00375777"/>
    <w:rsid w:val="00375C38"/>
    <w:rsid w:val="00391F80"/>
    <w:rsid w:val="003C3C5B"/>
    <w:rsid w:val="003C70DD"/>
    <w:rsid w:val="003C7715"/>
    <w:rsid w:val="003D1571"/>
    <w:rsid w:val="003D44FE"/>
    <w:rsid w:val="004672C2"/>
    <w:rsid w:val="00490797"/>
    <w:rsid w:val="004A266B"/>
    <w:rsid w:val="004B372D"/>
    <w:rsid w:val="004B5165"/>
    <w:rsid w:val="004E33A2"/>
    <w:rsid w:val="004F57F6"/>
    <w:rsid w:val="005003F2"/>
    <w:rsid w:val="00510996"/>
    <w:rsid w:val="00516156"/>
    <w:rsid w:val="00520660"/>
    <w:rsid w:val="005717DE"/>
    <w:rsid w:val="00571A64"/>
    <w:rsid w:val="00586834"/>
    <w:rsid w:val="005B4EA9"/>
    <w:rsid w:val="005B6BDD"/>
    <w:rsid w:val="005C77BD"/>
    <w:rsid w:val="005D6F1E"/>
    <w:rsid w:val="006276A2"/>
    <w:rsid w:val="00642816"/>
    <w:rsid w:val="006556D4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57CD"/>
    <w:rsid w:val="00777FC2"/>
    <w:rsid w:val="00787E45"/>
    <w:rsid w:val="007B3152"/>
    <w:rsid w:val="007C53CD"/>
    <w:rsid w:val="007C6332"/>
    <w:rsid w:val="007C6F2B"/>
    <w:rsid w:val="008139FA"/>
    <w:rsid w:val="00816A62"/>
    <w:rsid w:val="0085164A"/>
    <w:rsid w:val="00853887"/>
    <w:rsid w:val="008561B8"/>
    <w:rsid w:val="00856BA7"/>
    <w:rsid w:val="00861FCE"/>
    <w:rsid w:val="00867A84"/>
    <w:rsid w:val="0087549F"/>
    <w:rsid w:val="00875CD0"/>
    <w:rsid w:val="00883462"/>
    <w:rsid w:val="008A1E5D"/>
    <w:rsid w:val="008C145B"/>
    <w:rsid w:val="008D05A8"/>
    <w:rsid w:val="008D59D9"/>
    <w:rsid w:val="008E0B5F"/>
    <w:rsid w:val="008E255B"/>
    <w:rsid w:val="008E7188"/>
    <w:rsid w:val="008F056F"/>
    <w:rsid w:val="008F30FD"/>
    <w:rsid w:val="008F6F57"/>
    <w:rsid w:val="00900E17"/>
    <w:rsid w:val="00905D3F"/>
    <w:rsid w:val="009114E7"/>
    <w:rsid w:val="00927A6A"/>
    <w:rsid w:val="00934F00"/>
    <w:rsid w:val="0094140E"/>
    <w:rsid w:val="00942E81"/>
    <w:rsid w:val="00961B6E"/>
    <w:rsid w:val="0098468B"/>
    <w:rsid w:val="00991A65"/>
    <w:rsid w:val="009A4A00"/>
    <w:rsid w:val="009A4A51"/>
    <w:rsid w:val="009B7000"/>
    <w:rsid w:val="009C2818"/>
    <w:rsid w:val="009C3668"/>
    <w:rsid w:val="009C7729"/>
    <w:rsid w:val="009F4652"/>
    <w:rsid w:val="00A1522B"/>
    <w:rsid w:val="00A2149C"/>
    <w:rsid w:val="00A31A3E"/>
    <w:rsid w:val="00A55928"/>
    <w:rsid w:val="00A56CBB"/>
    <w:rsid w:val="00A608E1"/>
    <w:rsid w:val="00A73C2D"/>
    <w:rsid w:val="00A804AE"/>
    <w:rsid w:val="00A81B39"/>
    <w:rsid w:val="00A87876"/>
    <w:rsid w:val="00A91BCD"/>
    <w:rsid w:val="00A93340"/>
    <w:rsid w:val="00AA3F34"/>
    <w:rsid w:val="00AA5889"/>
    <w:rsid w:val="00AC43DF"/>
    <w:rsid w:val="00AF241F"/>
    <w:rsid w:val="00B16F5F"/>
    <w:rsid w:val="00B36F57"/>
    <w:rsid w:val="00B45CDD"/>
    <w:rsid w:val="00B572E3"/>
    <w:rsid w:val="00B61463"/>
    <w:rsid w:val="00B765E7"/>
    <w:rsid w:val="00B93A88"/>
    <w:rsid w:val="00B946D9"/>
    <w:rsid w:val="00BA2452"/>
    <w:rsid w:val="00BA4DA9"/>
    <w:rsid w:val="00BB6259"/>
    <w:rsid w:val="00BC6E91"/>
    <w:rsid w:val="00C11429"/>
    <w:rsid w:val="00C3197D"/>
    <w:rsid w:val="00C36DF3"/>
    <w:rsid w:val="00C925FA"/>
    <w:rsid w:val="00C95D07"/>
    <w:rsid w:val="00CA23D1"/>
    <w:rsid w:val="00CA3F10"/>
    <w:rsid w:val="00CD0725"/>
    <w:rsid w:val="00CF75C0"/>
    <w:rsid w:val="00D03F58"/>
    <w:rsid w:val="00D175C4"/>
    <w:rsid w:val="00D43FEE"/>
    <w:rsid w:val="00D5345B"/>
    <w:rsid w:val="00D64207"/>
    <w:rsid w:val="00D6588A"/>
    <w:rsid w:val="00D820F8"/>
    <w:rsid w:val="00DC2D82"/>
    <w:rsid w:val="00DD7F10"/>
    <w:rsid w:val="00DF4180"/>
    <w:rsid w:val="00DF5537"/>
    <w:rsid w:val="00E22ED4"/>
    <w:rsid w:val="00E35D5B"/>
    <w:rsid w:val="00E50728"/>
    <w:rsid w:val="00E77EC0"/>
    <w:rsid w:val="00E84396"/>
    <w:rsid w:val="00EA3795"/>
    <w:rsid w:val="00EC045B"/>
    <w:rsid w:val="00ED3B0F"/>
    <w:rsid w:val="00EF0CC9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93660"/>
    <w:rsid w:val="00FA25EF"/>
    <w:rsid w:val="00FB720B"/>
    <w:rsid w:val="00FC2A2D"/>
    <w:rsid w:val="00FD6F8A"/>
    <w:rsid w:val="00FD7202"/>
    <w:rsid w:val="00FE0B01"/>
    <w:rsid w:val="00FF0382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59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61EA-BBB6-4D2F-A723-F9A4C720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CB-128</cp:lastModifiedBy>
  <cp:revision>3</cp:revision>
  <cp:lastPrinted>2019-04-25T12:31:00Z</cp:lastPrinted>
  <dcterms:created xsi:type="dcterms:W3CDTF">2019-06-10T12:13:00Z</dcterms:created>
  <dcterms:modified xsi:type="dcterms:W3CDTF">2019-06-10T12:19:00Z</dcterms:modified>
</cp:coreProperties>
</file>