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17" w:rsidRDefault="006A5417" w:rsidP="00E1542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Организация ритуальных услуг на территории города Югорска</w:t>
      </w:r>
    </w:p>
    <w:p w:rsidR="006A5417" w:rsidRDefault="006A5417" w:rsidP="00E1542D">
      <w:pPr>
        <w:jc w:val="center"/>
        <w:rPr>
          <w:b/>
          <w:sz w:val="26"/>
          <w:szCs w:val="26"/>
        </w:rPr>
      </w:pP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 w:rsidRPr="006A5417">
        <w:rPr>
          <w:sz w:val="26"/>
          <w:szCs w:val="26"/>
        </w:rPr>
        <w:t>Ритуально-похоронное дело является одной из важнейших отраслей городского хозяйства. Особенностью похоронной сферы является то, что она затрагивает интересы практически всего населения.</w:t>
      </w:r>
      <w:r>
        <w:rPr>
          <w:sz w:val="26"/>
          <w:szCs w:val="26"/>
        </w:rPr>
        <w:t xml:space="preserve"> Ритуальные услуги включают в себя:</w:t>
      </w:r>
    </w:p>
    <w:p w:rsidR="006A5417" w:rsidRDefault="006A5417" w:rsidP="006A54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оформление документов, необходимых для погребения;</w:t>
      </w:r>
    </w:p>
    <w:p w:rsidR="006A5417" w:rsidRDefault="006A5417" w:rsidP="006A54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предоставление и доставка гроба и других предметов, необходимых для погребения;</w:t>
      </w: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перевозка тела умершего на кладбище;</w:t>
      </w: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погребение;</w:t>
      </w: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продажа памятников и оград;</w:t>
      </w: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монтаж и демонтаж надгробных сооружений;</w:t>
      </w:r>
    </w:p>
    <w:p w:rsidR="006A5417" w:rsidRDefault="006A541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благоустройство мест захоронений, а так же уход за ними</w:t>
      </w:r>
      <w:r w:rsidR="00FA1887">
        <w:rPr>
          <w:sz w:val="26"/>
          <w:szCs w:val="26"/>
        </w:rPr>
        <w:t>;</w:t>
      </w:r>
    </w:p>
    <w:p w:rsidR="00FA1887" w:rsidRDefault="00FA188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производство и доставка похоронных принадлежностей, памятников, памятных знаков, надмогильных и мемориальных сооружений, предметов похоронного ритуала.</w:t>
      </w:r>
    </w:p>
    <w:p w:rsidR="00FA1887" w:rsidRDefault="00FA1887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Оказание ритуальных услуг в городе Югорске, предоставляемых согласно гарантированному перечню услуг по погребению супругу, близким родственникам, иным родственникам законному представителю или иному лицу, взявшему на себя обязанность осуществить погребение умершего, предоставляют следующие организации: </w:t>
      </w:r>
    </w:p>
    <w:p w:rsidR="00FA1887" w:rsidRDefault="00FA1887" w:rsidP="00DD72E1">
      <w:pPr>
        <w:ind w:firstLine="708"/>
        <w:jc w:val="center"/>
        <w:rPr>
          <w:sz w:val="26"/>
          <w:szCs w:val="26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2174"/>
        <w:gridCol w:w="1906"/>
        <w:gridCol w:w="2157"/>
      </w:tblGrid>
      <w:tr w:rsidR="00FA1887" w:rsidTr="009113E8">
        <w:trPr>
          <w:trHeight w:val="850"/>
        </w:trPr>
        <w:tc>
          <w:tcPr>
            <w:tcW w:w="675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</w:t>
            </w:r>
          </w:p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>
              <w:rPr>
                <w:rFonts w:ascii="PT Astra Serif" w:hAnsi="PT Astra Serif"/>
                <w:sz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1701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Ф.И.О. руководителя</w:t>
            </w:r>
          </w:p>
        </w:tc>
        <w:tc>
          <w:tcPr>
            <w:tcW w:w="1843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Наименование организации</w:t>
            </w:r>
          </w:p>
        </w:tc>
        <w:tc>
          <w:tcPr>
            <w:tcW w:w="2174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 местонахождения</w:t>
            </w:r>
          </w:p>
        </w:tc>
        <w:tc>
          <w:tcPr>
            <w:tcW w:w="1906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Контактные данные эл. почта, тел.</w:t>
            </w:r>
          </w:p>
        </w:tc>
        <w:tc>
          <w:tcPr>
            <w:tcW w:w="2157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ИНН, ОГРН</w:t>
            </w:r>
          </w:p>
        </w:tc>
      </w:tr>
      <w:tr w:rsidR="00FA1887" w:rsidTr="009113E8">
        <w:trPr>
          <w:trHeight w:val="1304"/>
        </w:trPr>
        <w:tc>
          <w:tcPr>
            <w:tcW w:w="675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ИП Жевно Владимир Васильевич</w:t>
            </w:r>
          </w:p>
        </w:tc>
        <w:tc>
          <w:tcPr>
            <w:tcW w:w="1843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«Акрополь»</w:t>
            </w:r>
          </w:p>
        </w:tc>
        <w:tc>
          <w:tcPr>
            <w:tcW w:w="2174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628260, ХМАО-Югра, город Югорск, ул. Попова, д.3</w:t>
            </w:r>
          </w:p>
        </w:tc>
        <w:tc>
          <w:tcPr>
            <w:tcW w:w="1906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  <w:t>8(922)250-38-64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  <w:t>voldemarz75@mail.ru</w:t>
            </w:r>
          </w:p>
        </w:tc>
        <w:tc>
          <w:tcPr>
            <w:tcW w:w="2157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</w:rPr>
              <w:t>860604150016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  <w:lang w:val="en-US"/>
              </w:rPr>
              <w:t>310860633600010</w:t>
            </w:r>
          </w:p>
        </w:tc>
      </w:tr>
      <w:tr w:rsidR="00FA1887" w:rsidTr="009113E8">
        <w:trPr>
          <w:trHeight w:val="1304"/>
        </w:trPr>
        <w:tc>
          <w:tcPr>
            <w:tcW w:w="675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ИП Кармацких Владимир Николаевич</w:t>
            </w:r>
          </w:p>
        </w:tc>
        <w:tc>
          <w:tcPr>
            <w:tcW w:w="1843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«Милосердие»</w:t>
            </w:r>
          </w:p>
        </w:tc>
        <w:tc>
          <w:tcPr>
            <w:tcW w:w="2174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628260, ХМАО-Югра, город Югорск, ул. Попова, д.2Ж</w:t>
            </w:r>
          </w:p>
        </w:tc>
        <w:tc>
          <w:tcPr>
            <w:tcW w:w="1906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</w:rPr>
              <w:t>8(922)251-03-22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  <w:t>terapeft6@gmail.com</w:t>
            </w:r>
          </w:p>
        </w:tc>
        <w:tc>
          <w:tcPr>
            <w:tcW w:w="2157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</w:rPr>
              <w:t>862200070288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  <w:lang w:val="en-US"/>
              </w:rPr>
              <w:t>321861700008984</w:t>
            </w:r>
          </w:p>
        </w:tc>
      </w:tr>
      <w:tr w:rsidR="00FA1887" w:rsidTr="009113E8">
        <w:trPr>
          <w:trHeight w:val="1304"/>
        </w:trPr>
        <w:tc>
          <w:tcPr>
            <w:tcW w:w="675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Пономарев Дмитрий Николаевич</w:t>
            </w:r>
          </w:p>
        </w:tc>
        <w:tc>
          <w:tcPr>
            <w:tcW w:w="1843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ООО «Милосердие»</w:t>
            </w:r>
          </w:p>
        </w:tc>
        <w:tc>
          <w:tcPr>
            <w:tcW w:w="2174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628260, ХМАО-Югра, город Югорск, ул. Попова, д.2Ж</w:t>
            </w:r>
          </w:p>
        </w:tc>
        <w:tc>
          <w:tcPr>
            <w:tcW w:w="1906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8(912)514-40-40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>
              <w:rPr>
                <w:rFonts w:ascii="PT Astra Serif" w:hAnsi="PT Astra Serif"/>
                <w:sz w:val="24"/>
                <w:lang w:val="en-US"/>
              </w:rPr>
              <w:t>terapeft6@gmail.com</w:t>
            </w:r>
          </w:p>
        </w:tc>
        <w:tc>
          <w:tcPr>
            <w:tcW w:w="2157" w:type="dxa"/>
            <w:vAlign w:val="center"/>
          </w:tcPr>
          <w:p w:rsidR="00FA1887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</w:rPr>
              <w:t>8622006404</w:t>
            </w:r>
          </w:p>
          <w:p w:rsidR="00FA1887" w:rsidRPr="005F5BA3" w:rsidRDefault="00FA1887" w:rsidP="009113E8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5F5BA3">
              <w:rPr>
                <w:rFonts w:ascii="PT Astra Serif" w:hAnsi="PT Astra Serif"/>
                <w:sz w:val="24"/>
                <w:lang w:val="en-US"/>
              </w:rPr>
              <w:t>1198617003859</w:t>
            </w:r>
          </w:p>
        </w:tc>
      </w:tr>
    </w:tbl>
    <w:p w:rsidR="00FA1887" w:rsidRDefault="00FA1887" w:rsidP="00FA1887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*Согласно данным ЕГРЮЛ учредителем ООО «Милосердие» является Кармацких Владимир Николаевич.</w:t>
      </w:r>
    </w:p>
    <w:p w:rsidR="00F21194" w:rsidRDefault="00F21194" w:rsidP="006A5417">
      <w:pPr>
        <w:ind w:firstLine="708"/>
        <w:jc w:val="both"/>
        <w:rPr>
          <w:sz w:val="26"/>
          <w:szCs w:val="26"/>
        </w:rPr>
      </w:pPr>
    </w:p>
    <w:p w:rsidR="00FA1887" w:rsidRDefault="00FB608D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Выполнение</w:t>
      </w:r>
      <w:r w:rsidR="006B712E">
        <w:rPr>
          <w:sz w:val="26"/>
          <w:szCs w:val="26"/>
        </w:rPr>
        <w:t xml:space="preserve"> работ по содержанию и обслуживанию городских кладбищ города Югорска осуществляется на основании </w:t>
      </w:r>
      <w:r>
        <w:rPr>
          <w:sz w:val="26"/>
          <w:szCs w:val="26"/>
        </w:rPr>
        <w:t>муниципального контракта</w:t>
      </w:r>
      <w:r w:rsidR="006B712E">
        <w:rPr>
          <w:sz w:val="26"/>
          <w:szCs w:val="26"/>
        </w:rPr>
        <w:t xml:space="preserve">, заключенного департаментом жилищно-коммунального и строительного комплекса администрации города Югорска </w:t>
      </w:r>
      <w:r>
        <w:rPr>
          <w:sz w:val="26"/>
          <w:szCs w:val="26"/>
        </w:rPr>
        <w:t>на основании</w:t>
      </w:r>
      <w:r w:rsidR="006B712E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решения единой комиссии по осуществлению закупок для муниципальных нужд города Югорска</w:t>
      </w:r>
      <w:r w:rsidR="006B712E">
        <w:rPr>
          <w:sz w:val="26"/>
          <w:szCs w:val="26"/>
        </w:rPr>
        <w:t>.</w:t>
      </w:r>
    </w:p>
    <w:p w:rsidR="006B712E" w:rsidRDefault="00FB608D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решения единой комиссии</w:t>
      </w:r>
      <w:r w:rsidR="006B712E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 w:rsidR="006B712E">
        <w:rPr>
          <w:sz w:val="26"/>
          <w:szCs w:val="26"/>
        </w:rPr>
        <w:t xml:space="preserve"> работ по содержанию и обслуживанию городских кладбищ города Югорска</w:t>
      </w:r>
      <w:r>
        <w:rPr>
          <w:sz w:val="26"/>
          <w:szCs w:val="26"/>
        </w:rPr>
        <w:t xml:space="preserve"> осуществляет общество с ограниченной ответственностью «ТАЛИОН» (далее ООО «ТАЛИОН»). Генеральный директор – Номакова Евгения Павловна.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2133"/>
        <w:gridCol w:w="1893"/>
        <w:gridCol w:w="2211"/>
      </w:tblGrid>
      <w:tr w:rsidR="00FB608D" w:rsidTr="009113E8">
        <w:trPr>
          <w:trHeight w:val="850"/>
        </w:trPr>
        <w:tc>
          <w:tcPr>
            <w:tcW w:w="675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№</w:t>
            </w:r>
          </w:p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>
              <w:rPr>
                <w:rFonts w:ascii="PT Astra Serif" w:hAnsi="PT Astra Serif"/>
                <w:sz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1701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Ф.И.О. руководителя</w:t>
            </w:r>
          </w:p>
        </w:tc>
        <w:tc>
          <w:tcPr>
            <w:tcW w:w="1843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Наименование организации</w:t>
            </w:r>
          </w:p>
        </w:tc>
        <w:tc>
          <w:tcPr>
            <w:tcW w:w="2133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 местонахождения</w:t>
            </w:r>
          </w:p>
        </w:tc>
        <w:tc>
          <w:tcPr>
            <w:tcW w:w="1893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Контактные данные эл. почта, тел.</w:t>
            </w:r>
          </w:p>
        </w:tc>
        <w:tc>
          <w:tcPr>
            <w:tcW w:w="2211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ИНН, ОГРН</w:t>
            </w:r>
          </w:p>
        </w:tc>
      </w:tr>
      <w:tr w:rsidR="00FB608D" w:rsidTr="009113E8">
        <w:trPr>
          <w:trHeight w:val="1304"/>
        </w:trPr>
        <w:tc>
          <w:tcPr>
            <w:tcW w:w="675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sz w:val="26"/>
                <w:szCs w:val="26"/>
              </w:rPr>
              <w:t>Номакова Евгения Павловна</w:t>
            </w:r>
          </w:p>
        </w:tc>
        <w:tc>
          <w:tcPr>
            <w:tcW w:w="1843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ООО «ТАЛИОН»</w:t>
            </w:r>
          </w:p>
        </w:tc>
        <w:tc>
          <w:tcPr>
            <w:tcW w:w="2133" w:type="dxa"/>
            <w:vAlign w:val="center"/>
          </w:tcPr>
          <w:p w:rsidR="00FB608D" w:rsidRDefault="00FB608D" w:rsidP="009113E8">
            <w:pPr>
              <w:jc w:val="center"/>
              <w:rPr>
                <w:rFonts w:ascii="PT Astra Serif" w:hAnsi="PT Astra Serif"/>
                <w:sz w:val="24"/>
              </w:rPr>
            </w:pPr>
            <w:r w:rsidRPr="00FB608D">
              <w:rPr>
                <w:rFonts w:ascii="PT Astra Serif" w:hAnsi="PT Astra Serif"/>
                <w:sz w:val="24"/>
              </w:rPr>
              <w:t>680000, Хабаровский край, г. Хабаровск, ул. Запарина, 87, помещение II (24-33)</w:t>
            </w:r>
          </w:p>
        </w:tc>
        <w:tc>
          <w:tcPr>
            <w:tcW w:w="1893" w:type="dxa"/>
            <w:vAlign w:val="center"/>
          </w:tcPr>
          <w:p w:rsidR="00FB608D" w:rsidRDefault="00FB608D" w:rsidP="00F2119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8-929-408-00-65</w:t>
            </w:r>
          </w:p>
        </w:tc>
        <w:tc>
          <w:tcPr>
            <w:tcW w:w="2211" w:type="dxa"/>
            <w:vAlign w:val="center"/>
          </w:tcPr>
          <w:p w:rsidR="00FB608D" w:rsidRDefault="00F21194" w:rsidP="009113E8">
            <w:pPr>
              <w:jc w:val="center"/>
              <w:rPr>
                <w:rFonts w:ascii="PT Astra Serif" w:hAnsi="PT Astra Serif"/>
                <w:sz w:val="24"/>
              </w:rPr>
            </w:pPr>
            <w:r w:rsidRPr="00F21194">
              <w:rPr>
                <w:rFonts w:ascii="PT Astra Serif" w:hAnsi="PT Astra Serif"/>
                <w:sz w:val="24"/>
              </w:rPr>
              <w:t>2722137470</w:t>
            </w:r>
          </w:p>
          <w:p w:rsidR="00F21194" w:rsidRDefault="00F21194" w:rsidP="009113E8">
            <w:pPr>
              <w:jc w:val="center"/>
              <w:rPr>
                <w:rFonts w:ascii="PT Astra Serif" w:hAnsi="PT Astra Serif"/>
                <w:sz w:val="24"/>
              </w:rPr>
            </w:pPr>
            <w:r w:rsidRPr="00F21194">
              <w:rPr>
                <w:rFonts w:ascii="PT Astra Serif" w:hAnsi="PT Astra Serif"/>
                <w:sz w:val="24"/>
              </w:rPr>
              <w:t>1222700004152</w:t>
            </w:r>
          </w:p>
        </w:tc>
      </w:tr>
    </w:tbl>
    <w:p w:rsidR="00FB608D" w:rsidRDefault="00FB608D" w:rsidP="006A5417">
      <w:pPr>
        <w:ind w:firstLine="708"/>
        <w:jc w:val="both"/>
        <w:rPr>
          <w:sz w:val="26"/>
          <w:szCs w:val="26"/>
        </w:rPr>
      </w:pPr>
    </w:p>
    <w:p w:rsidR="00DD72E1" w:rsidRDefault="0068520A" w:rsidP="001B7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муниципального контракта ООО «ТАЛИОН»</w:t>
      </w:r>
      <w:r w:rsidR="00DD72E1">
        <w:rPr>
          <w:sz w:val="26"/>
          <w:szCs w:val="26"/>
        </w:rPr>
        <w:t xml:space="preserve"> оказывает услуги по перевозке умерших</w:t>
      </w:r>
      <w:r>
        <w:rPr>
          <w:sz w:val="26"/>
          <w:szCs w:val="26"/>
        </w:rPr>
        <w:t>, личность которых не установлена органами внутренних дел, погребение лиц, у которых отсутствует супруг, близкие родственники, иные родственники либо законный представитель умершего</w:t>
      </w:r>
      <w:r w:rsidR="00B60DE4">
        <w:rPr>
          <w:sz w:val="26"/>
          <w:szCs w:val="26"/>
        </w:rPr>
        <w:t xml:space="preserve">, а так же оформлением документов для погребения лиц, </w:t>
      </w:r>
      <w:r w:rsidR="00B60DE4">
        <w:rPr>
          <w:sz w:val="26"/>
          <w:szCs w:val="26"/>
        </w:rPr>
        <w:t>у которых отсутствует супруг, близкие родственники, иные родственники либо законный представитель умершего</w:t>
      </w:r>
      <w:r w:rsidR="00B60DE4">
        <w:rPr>
          <w:sz w:val="26"/>
          <w:szCs w:val="26"/>
        </w:rPr>
        <w:t>.</w:t>
      </w:r>
    </w:p>
    <w:p w:rsidR="001B7A6A" w:rsidRDefault="001B7A6A" w:rsidP="001B7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Стоимость </w:t>
      </w:r>
      <w:proofErr w:type="gramStart"/>
      <w:r>
        <w:rPr>
          <w:sz w:val="26"/>
          <w:szCs w:val="26"/>
        </w:rPr>
        <w:t>оказываемых</w:t>
      </w:r>
      <w:proofErr w:type="gramEnd"/>
      <w:r>
        <w:rPr>
          <w:sz w:val="26"/>
          <w:szCs w:val="26"/>
        </w:rPr>
        <w:t xml:space="preserve"> услуг по погребению (согласно гарантийному переч</w:t>
      </w:r>
      <w:r w:rsidR="001C24D8">
        <w:rPr>
          <w:sz w:val="26"/>
          <w:szCs w:val="26"/>
        </w:rPr>
        <w:t>ню) имеет фиксированный размер</w:t>
      </w:r>
      <w:r>
        <w:rPr>
          <w:sz w:val="26"/>
          <w:szCs w:val="26"/>
        </w:rPr>
        <w:t>, участок земли под могилу предоставляется бесплатно. Гарантированный перечень услуг по пог</w:t>
      </w:r>
      <w:r w:rsidR="00191735">
        <w:rPr>
          <w:sz w:val="26"/>
          <w:szCs w:val="26"/>
        </w:rPr>
        <w:t xml:space="preserve">ребению, оказываемый организациями </w:t>
      </w:r>
      <w:r>
        <w:rPr>
          <w:sz w:val="26"/>
          <w:szCs w:val="26"/>
        </w:rPr>
        <w:t>по вопросам похоронного дела, устанавливается Федеральным законом от 12.01.1996 № 8-ФЗ «О погребении и похоронном деле» и включает в себя следующий перечень работ:</w:t>
      </w:r>
    </w:p>
    <w:p w:rsidR="001B7A6A" w:rsidRDefault="001B7A6A" w:rsidP="001B7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оформление документов, необходимых для погребения;</w:t>
      </w:r>
    </w:p>
    <w:p w:rsidR="001B7A6A" w:rsidRDefault="001B7A6A" w:rsidP="001B7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и доставка гроба и других предметов, необходимых для погребения;</w:t>
      </w:r>
    </w:p>
    <w:p w:rsidR="001B7A6A" w:rsidRDefault="001B7A6A" w:rsidP="001B7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перевозка тела (останков) умершего на кладбище (в крематорий);</w:t>
      </w:r>
    </w:p>
    <w:p w:rsidR="001B7A6A" w:rsidRDefault="001B7A6A" w:rsidP="001B7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погребение.</w:t>
      </w:r>
      <w:bookmarkStart w:id="0" w:name="_GoBack"/>
      <w:bookmarkEnd w:id="0"/>
    </w:p>
    <w:p w:rsidR="006B712E" w:rsidRDefault="004E6689" w:rsidP="006A5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Стоимость оказываемых услуг по погребению (согласно гарантийному перечню) имеет фиксированный размер и предоставляется </w:t>
      </w:r>
      <w:r w:rsidR="00F827E6">
        <w:rPr>
          <w:sz w:val="26"/>
          <w:szCs w:val="26"/>
        </w:rPr>
        <w:t>индивидуальным предпринимателем Жевно Владимир Васильевич (организация «Акрополь»)</w:t>
      </w:r>
      <w:r>
        <w:rPr>
          <w:sz w:val="26"/>
          <w:szCs w:val="26"/>
        </w:rPr>
        <w:t>:</w:t>
      </w:r>
    </w:p>
    <w:p w:rsidR="00191735" w:rsidRDefault="00191735" w:rsidP="00E60DB4">
      <w:pPr>
        <w:jc w:val="center"/>
        <w:rPr>
          <w:sz w:val="26"/>
          <w:szCs w:val="26"/>
        </w:rPr>
      </w:pPr>
    </w:p>
    <w:p w:rsidR="00E60DB4" w:rsidRDefault="004E6689" w:rsidP="00E60DB4">
      <w:pPr>
        <w:jc w:val="center"/>
        <w:rPr>
          <w:sz w:val="26"/>
          <w:szCs w:val="26"/>
        </w:rPr>
      </w:pPr>
      <w:r>
        <w:rPr>
          <w:sz w:val="26"/>
          <w:szCs w:val="26"/>
        </w:rPr>
        <w:t>Стоимость</w:t>
      </w:r>
    </w:p>
    <w:p w:rsidR="004E6689" w:rsidRDefault="004E6689" w:rsidP="00E60DB4">
      <w:pPr>
        <w:jc w:val="center"/>
        <w:rPr>
          <w:sz w:val="26"/>
          <w:szCs w:val="26"/>
        </w:rPr>
      </w:pPr>
      <w:r>
        <w:rPr>
          <w:sz w:val="26"/>
          <w:szCs w:val="26"/>
        </w:rPr>
        <w:t>услуг, предоставляемых согласно гарантированному перечню</w:t>
      </w:r>
    </w:p>
    <w:p w:rsidR="004E6689" w:rsidRDefault="004E6689" w:rsidP="00E60D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услуг по погребению супруга, близким родственникам, иным родственникам </w:t>
      </w:r>
    </w:p>
    <w:p w:rsidR="004E6689" w:rsidRDefault="004E6689" w:rsidP="00E60DB4">
      <w:pPr>
        <w:jc w:val="center"/>
        <w:rPr>
          <w:sz w:val="26"/>
          <w:szCs w:val="26"/>
        </w:rPr>
      </w:pPr>
      <w:r>
        <w:rPr>
          <w:sz w:val="26"/>
          <w:szCs w:val="26"/>
        </w:rPr>
        <w:t>законному представителю или иному лицу, взявшему на себя обязанность</w:t>
      </w:r>
    </w:p>
    <w:p w:rsidR="00191735" w:rsidRDefault="004E6689" w:rsidP="00191735">
      <w:pPr>
        <w:jc w:val="center"/>
        <w:rPr>
          <w:sz w:val="26"/>
          <w:szCs w:val="26"/>
        </w:rPr>
      </w:pPr>
      <w:r>
        <w:rPr>
          <w:sz w:val="26"/>
          <w:szCs w:val="26"/>
        </w:rPr>
        <w:t>осуществить погребение умершего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6487"/>
        <w:gridCol w:w="3084"/>
      </w:tblGrid>
      <w:tr w:rsidR="004E6689" w:rsidRPr="00170B3D" w:rsidTr="00C47619">
        <w:trPr>
          <w:trHeight w:val="624"/>
        </w:trPr>
        <w:tc>
          <w:tcPr>
            <w:tcW w:w="567" w:type="dxa"/>
            <w:vAlign w:val="center"/>
          </w:tcPr>
          <w:p w:rsidR="004E6689" w:rsidRPr="00170B3D" w:rsidRDefault="004E6689" w:rsidP="00E60DB4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№</w:t>
            </w:r>
          </w:p>
          <w:p w:rsidR="004E6689" w:rsidRPr="00170B3D" w:rsidRDefault="004E6689" w:rsidP="00E60DB4">
            <w:pPr>
              <w:jc w:val="center"/>
              <w:rPr>
                <w:sz w:val="26"/>
                <w:szCs w:val="26"/>
              </w:rPr>
            </w:pPr>
            <w:proofErr w:type="gramStart"/>
            <w:r w:rsidRPr="00170B3D">
              <w:rPr>
                <w:sz w:val="26"/>
                <w:szCs w:val="26"/>
              </w:rPr>
              <w:t>п</w:t>
            </w:r>
            <w:proofErr w:type="gramEnd"/>
            <w:r w:rsidRPr="00170B3D">
              <w:rPr>
                <w:sz w:val="26"/>
                <w:szCs w:val="26"/>
              </w:rPr>
              <w:t>/п</w:t>
            </w:r>
          </w:p>
        </w:tc>
        <w:tc>
          <w:tcPr>
            <w:tcW w:w="6487" w:type="dxa"/>
            <w:vAlign w:val="center"/>
          </w:tcPr>
          <w:p w:rsidR="004E6689" w:rsidRPr="00170B3D" w:rsidRDefault="004E6689" w:rsidP="00E60DB4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3084" w:type="dxa"/>
            <w:vAlign w:val="center"/>
          </w:tcPr>
          <w:p w:rsidR="004E6689" w:rsidRPr="00170B3D" w:rsidRDefault="004E6689" w:rsidP="004E6689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Стоимость услуг, руб.</w:t>
            </w:r>
            <w:r>
              <w:rPr>
                <w:sz w:val="26"/>
                <w:szCs w:val="26"/>
              </w:rPr>
              <w:t>*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E60DB4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1.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E60DB4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3084" w:type="dxa"/>
            <w:vAlign w:val="center"/>
          </w:tcPr>
          <w:p w:rsidR="00C47619" w:rsidRPr="00170B3D" w:rsidRDefault="00290604" w:rsidP="00E60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включена в общую стоимость услуг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E60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70B3D">
              <w:rPr>
                <w:sz w:val="26"/>
                <w:szCs w:val="26"/>
              </w:rPr>
              <w:t>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E60DB4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C14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8 250,00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E60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170B3D">
              <w:rPr>
                <w:sz w:val="26"/>
                <w:szCs w:val="26"/>
              </w:rPr>
              <w:t>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E60DB4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C14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E60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170B3D">
              <w:rPr>
                <w:sz w:val="26"/>
                <w:szCs w:val="26"/>
              </w:rPr>
              <w:t>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E60DB4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Погребение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C14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15 150,00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</w:tcPr>
          <w:p w:rsidR="00C47619" w:rsidRPr="00170B3D" w:rsidRDefault="00C47619" w:rsidP="00E60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87" w:type="dxa"/>
            <w:vAlign w:val="center"/>
          </w:tcPr>
          <w:p w:rsidR="00C47619" w:rsidRPr="00170B3D" w:rsidRDefault="00C47619" w:rsidP="00E60D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Общая стоимость услуг: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C149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24 400,00</w:t>
            </w:r>
          </w:p>
        </w:tc>
      </w:tr>
    </w:tbl>
    <w:p w:rsidR="00E60DB4" w:rsidRDefault="00E60DB4" w:rsidP="00170B3D">
      <w:pPr>
        <w:jc w:val="both"/>
        <w:rPr>
          <w:sz w:val="26"/>
          <w:szCs w:val="26"/>
        </w:rPr>
      </w:pPr>
      <w:r w:rsidRPr="00170B3D">
        <w:rPr>
          <w:sz w:val="26"/>
          <w:szCs w:val="26"/>
        </w:rPr>
        <w:lastRenderedPageBreak/>
        <w:t>* НДС не облагается в соответствии со статьей 149 Налогового кодекса Российской Федерации.</w:t>
      </w:r>
    </w:p>
    <w:p w:rsidR="004E6689" w:rsidRDefault="004E6689" w:rsidP="004E6689">
      <w:pPr>
        <w:jc w:val="center"/>
        <w:rPr>
          <w:sz w:val="26"/>
          <w:szCs w:val="26"/>
        </w:rPr>
      </w:pPr>
      <w:r>
        <w:rPr>
          <w:sz w:val="26"/>
          <w:szCs w:val="26"/>
        </w:rPr>
        <w:t>Стоимость</w:t>
      </w:r>
    </w:p>
    <w:p w:rsidR="004E6689" w:rsidRDefault="004E6689" w:rsidP="004E6689">
      <w:pPr>
        <w:jc w:val="center"/>
        <w:rPr>
          <w:sz w:val="26"/>
          <w:szCs w:val="26"/>
        </w:rPr>
      </w:pPr>
      <w:r>
        <w:rPr>
          <w:sz w:val="26"/>
          <w:szCs w:val="26"/>
        </w:rPr>
        <w:t>услуг, предоставляемых согласно гарантированному перечню</w:t>
      </w:r>
    </w:p>
    <w:p w:rsidR="004E6689" w:rsidRDefault="004E6689" w:rsidP="004E6689">
      <w:pPr>
        <w:jc w:val="center"/>
        <w:rPr>
          <w:sz w:val="26"/>
          <w:szCs w:val="26"/>
        </w:rPr>
      </w:pPr>
      <w:r>
        <w:rPr>
          <w:sz w:val="26"/>
          <w:szCs w:val="26"/>
        </w:rPr>
        <w:t>услуг по погребению при отсутствии супруга, близких родственников, иных родственниках законного представителя умершего или при невозможности осуществить ими погребение, а так же при отсутствии иных лиц, взявших на себя обязанность</w:t>
      </w:r>
    </w:p>
    <w:p w:rsidR="004E6689" w:rsidRDefault="004E6689" w:rsidP="004E6689">
      <w:pPr>
        <w:jc w:val="center"/>
        <w:rPr>
          <w:sz w:val="26"/>
          <w:szCs w:val="26"/>
        </w:rPr>
      </w:pPr>
      <w:r>
        <w:rPr>
          <w:sz w:val="26"/>
          <w:szCs w:val="26"/>
        </w:rPr>
        <w:t>осуществить погребение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6487"/>
        <w:gridCol w:w="3084"/>
      </w:tblGrid>
      <w:tr w:rsidR="004E6689" w:rsidRPr="00170B3D" w:rsidTr="00C47619">
        <w:trPr>
          <w:trHeight w:val="624"/>
        </w:trPr>
        <w:tc>
          <w:tcPr>
            <w:tcW w:w="567" w:type="dxa"/>
            <w:vAlign w:val="center"/>
          </w:tcPr>
          <w:p w:rsidR="004E6689" w:rsidRPr="00170B3D" w:rsidRDefault="004E668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№</w:t>
            </w:r>
          </w:p>
          <w:p w:rsidR="004E6689" w:rsidRPr="00170B3D" w:rsidRDefault="004E6689" w:rsidP="009113E8">
            <w:pPr>
              <w:jc w:val="center"/>
              <w:rPr>
                <w:sz w:val="26"/>
                <w:szCs w:val="26"/>
              </w:rPr>
            </w:pPr>
            <w:proofErr w:type="gramStart"/>
            <w:r w:rsidRPr="00170B3D">
              <w:rPr>
                <w:sz w:val="26"/>
                <w:szCs w:val="26"/>
              </w:rPr>
              <w:t>п</w:t>
            </w:r>
            <w:proofErr w:type="gramEnd"/>
            <w:r w:rsidRPr="00170B3D">
              <w:rPr>
                <w:sz w:val="26"/>
                <w:szCs w:val="26"/>
              </w:rPr>
              <w:t>/п</w:t>
            </w:r>
          </w:p>
        </w:tc>
        <w:tc>
          <w:tcPr>
            <w:tcW w:w="6487" w:type="dxa"/>
            <w:vAlign w:val="center"/>
          </w:tcPr>
          <w:p w:rsidR="004E6689" w:rsidRPr="00170B3D" w:rsidRDefault="004E668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3084" w:type="dxa"/>
            <w:vAlign w:val="center"/>
          </w:tcPr>
          <w:p w:rsidR="004E6689" w:rsidRPr="00170B3D" w:rsidRDefault="004E668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Стоимость услуг, руб.</w:t>
            </w:r>
            <w:r>
              <w:rPr>
                <w:sz w:val="26"/>
                <w:szCs w:val="26"/>
              </w:rPr>
              <w:t>*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1.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3084" w:type="dxa"/>
            <w:vAlign w:val="center"/>
          </w:tcPr>
          <w:p w:rsidR="00C47619" w:rsidRPr="00170B3D" w:rsidRDefault="00290604" w:rsidP="00911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включена в общую стоимость услуг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2.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Облачение тела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3.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8 250,00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4.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5.</w:t>
            </w: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sz w:val="26"/>
                <w:szCs w:val="26"/>
              </w:rPr>
            </w:pPr>
            <w:r w:rsidRPr="00170B3D">
              <w:rPr>
                <w:sz w:val="26"/>
                <w:szCs w:val="26"/>
              </w:rPr>
              <w:t>Погребение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15 150,00</w:t>
            </w:r>
          </w:p>
        </w:tc>
      </w:tr>
      <w:tr w:rsidR="00C47619" w:rsidRPr="00170B3D" w:rsidTr="00C47619">
        <w:trPr>
          <w:trHeight w:val="624"/>
        </w:trPr>
        <w:tc>
          <w:tcPr>
            <w:tcW w:w="567" w:type="dxa"/>
          </w:tcPr>
          <w:p w:rsidR="00C47619" w:rsidRPr="00170B3D" w:rsidRDefault="00C47619" w:rsidP="009113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87" w:type="dxa"/>
            <w:vAlign w:val="center"/>
          </w:tcPr>
          <w:p w:rsidR="00C47619" w:rsidRPr="00170B3D" w:rsidRDefault="00C47619" w:rsidP="009113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Общая стоимость услуг:</w:t>
            </w:r>
          </w:p>
        </w:tc>
        <w:tc>
          <w:tcPr>
            <w:tcW w:w="3084" w:type="dxa"/>
            <w:vAlign w:val="center"/>
          </w:tcPr>
          <w:p w:rsidR="00C47619" w:rsidRPr="00170B3D" w:rsidRDefault="00C47619" w:rsidP="00C476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27 400,00</w:t>
            </w:r>
          </w:p>
        </w:tc>
      </w:tr>
    </w:tbl>
    <w:p w:rsidR="004E6689" w:rsidRPr="00170B3D" w:rsidRDefault="004E6689" w:rsidP="004E6689">
      <w:pPr>
        <w:jc w:val="both"/>
        <w:rPr>
          <w:sz w:val="26"/>
          <w:szCs w:val="26"/>
        </w:rPr>
      </w:pPr>
      <w:r w:rsidRPr="00170B3D">
        <w:rPr>
          <w:sz w:val="26"/>
          <w:szCs w:val="26"/>
        </w:rPr>
        <w:t>* НДС не облагается в соответствии со статьей 149 Налогового кодекса Российской Федерации.</w:t>
      </w:r>
    </w:p>
    <w:p w:rsidR="004E6689" w:rsidRDefault="004E6689" w:rsidP="00170B3D">
      <w:pPr>
        <w:jc w:val="both"/>
        <w:rPr>
          <w:sz w:val="26"/>
          <w:szCs w:val="26"/>
        </w:rPr>
      </w:pPr>
    </w:p>
    <w:p w:rsidR="00D312F6" w:rsidRPr="00D312F6" w:rsidRDefault="00D312F6" w:rsidP="00170B3D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ab/>
        <w:t xml:space="preserve">Уполномоченным органом от Администрации города Югорска по вопросам похоронного дела на территории города Югорска является департамент жилищно-коммунального и строительного комплекса администрации города Югорска. Директор – Ефимов Роман Александрович. Контактные данные: 628260, ХМАО-Югра, г. Югорск, ул. Механизаторов, д.22; тел./факс 8(34675)7-11-58 / 8(34675)7-30-81; </w:t>
      </w:r>
      <w:r>
        <w:rPr>
          <w:sz w:val="26"/>
          <w:szCs w:val="26"/>
          <w:lang w:val="en-US"/>
        </w:rPr>
        <w:t>e-mail</w:t>
      </w:r>
      <w:r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r w:rsidRPr="00D312F6">
        <w:rPr>
          <w:sz w:val="26"/>
          <w:szCs w:val="26"/>
          <w:lang w:val="en-US"/>
        </w:rPr>
        <w:t>DJKiSK@ugorsk.ru</w:t>
      </w:r>
    </w:p>
    <w:sectPr w:rsidR="00D312F6" w:rsidRPr="00D312F6" w:rsidSect="00FA188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331F"/>
    <w:multiLevelType w:val="hybridMultilevel"/>
    <w:tmpl w:val="9766AB94"/>
    <w:lvl w:ilvl="0" w:tplc="58DC72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45"/>
    <w:rsid w:val="00090B45"/>
    <w:rsid w:val="00170B3D"/>
    <w:rsid w:val="00191735"/>
    <w:rsid w:val="001B7A6A"/>
    <w:rsid w:val="001C24D8"/>
    <w:rsid w:val="00290604"/>
    <w:rsid w:val="00354769"/>
    <w:rsid w:val="003727BD"/>
    <w:rsid w:val="004E6689"/>
    <w:rsid w:val="0065798F"/>
    <w:rsid w:val="0068520A"/>
    <w:rsid w:val="006A5417"/>
    <w:rsid w:val="006B712E"/>
    <w:rsid w:val="008027CF"/>
    <w:rsid w:val="00AB4460"/>
    <w:rsid w:val="00B60DE4"/>
    <w:rsid w:val="00C47619"/>
    <w:rsid w:val="00CC57E9"/>
    <w:rsid w:val="00D312F6"/>
    <w:rsid w:val="00DD72E1"/>
    <w:rsid w:val="00E1542D"/>
    <w:rsid w:val="00E60DB4"/>
    <w:rsid w:val="00F0636F"/>
    <w:rsid w:val="00F21194"/>
    <w:rsid w:val="00F827E6"/>
    <w:rsid w:val="00FA1887"/>
    <w:rsid w:val="00FB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ый">
      <a:majorFont>
        <a:latin typeface="PT Astra Serif"/>
        <a:ea typeface=""/>
        <a:cs typeface=""/>
      </a:majorFont>
      <a:minorFont>
        <a:latin typeface="PT Astra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Понкратов Максим Андреевич</dc:creator>
  <cp:keywords/>
  <dc:description/>
  <cp:lastModifiedBy>Понкратов Максим Андреевич</cp:lastModifiedBy>
  <cp:revision>10</cp:revision>
  <dcterms:created xsi:type="dcterms:W3CDTF">2024-02-28T07:34:00Z</dcterms:created>
  <dcterms:modified xsi:type="dcterms:W3CDTF">2024-02-29T05:27:00Z</dcterms:modified>
</cp:coreProperties>
</file>