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harts/chart10.xml" ContentType="application/vnd.openxmlformats-officedocument.drawingml.chart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drawings/drawing3.xml" ContentType="application/vnd.openxmlformats-officedocument.drawingml.chartshapes+xml"/>
  <Override PartName="/word/drawings/drawing4.xml" ContentType="application/vnd.openxmlformats-officedocument.drawingml.chartshapes+xml"/>
  <Override PartName="/word/drawings/drawing5.xml" ContentType="application/vnd.openxmlformats-officedocument.drawingml.chartshap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B60" w:rsidRDefault="00DC1914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pict>
          <v:rect id="_x0000_s1028" style="position:absolute;left:0;text-align:left;margin-left:-12.35pt;margin-top:12.05pt;width:524.75pt;height:775.15pt;z-index:251660288">
            <v:textbox>
              <w:txbxContent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  <w:p w:rsidR="00880813" w:rsidRPr="00C46551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C4655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Мониторинг качества финансового </w:t>
                  </w:r>
                </w:p>
                <w:p w:rsidR="00880813" w:rsidRPr="00C46551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C4655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менеджмента, осуществляемого главными администраторами </w:t>
                  </w:r>
                </w:p>
                <w:p w:rsidR="00880813" w:rsidRPr="00C46551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C4655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средств бюджета города Югорска, </w:t>
                  </w:r>
                </w:p>
                <w:p w:rsidR="00880813" w:rsidRPr="00C46551" w:rsidRDefault="00880813" w:rsidP="00633B60">
                  <w:pPr>
                    <w:tabs>
                      <w:tab w:val="left" w:pos="8903"/>
                    </w:tabs>
                    <w:spacing w:after="0" w:line="240" w:lineRule="auto"/>
                    <w:jc w:val="center"/>
                    <w:outlineLvl w:val="0"/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</w:pPr>
                  <w:r w:rsidRPr="00C46551">
                    <w:rPr>
                      <w:rFonts w:ascii="Times New Roman" w:hAnsi="Times New Roman" w:cs="Times New Roman"/>
                      <w:b/>
                      <w:sz w:val="44"/>
                      <w:szCs w:val="44"/>
                    </w:rPr>
                    <w:t xml:space="preserve">за 2016 год </w:t>
                  </w:r>
                </w:p>
              </w:txbxContent>
            </v:textbox>
          </v:rect>
        </w:pict>
      </w: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633B60" w:rsidRDefault="00633B60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189C" w:rsidRPr="00C46551" w:rsidRDefault="00E167E3" w:rsidP="00633B60">
      <w:pPr>
        <w:tabs>
          <w:tab w:val="left" w:pos="8903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46551">
        <w:rPr>
          <w:rFonts w:ascii="Times New Roman" w:hAnsi="Times New Roman" w:cs="Times New Roman"/>
          <w:b/>
          <w:sz w:val="28"/>
          <w:szCs w:val="28"/>
        </w:rPr>
        <w:lastRenderedPageBreak/>
        <w:t>Сводный отчет о р</w:t>
      </w:r>
      <w:r w:rsidR="00C45681" w:rsidRPr="00C46551">
        <w:rPr>
          <w:rFonts w:ascii="Times New Roman" w:hAnsi="Times New Roman" w:cs="Times New Roman"/>
          <w:b/>
          <w:sz w:val="28"/>
          <w:szCs w:val="28"/>
        </w:rPr>
        <w:t>езультат</w:t>
      </w:r>
      <w:r w:rsidRPr="00C46551">
        <w:rPr>
          <w:rFonts w:ascii="Times New Roman" w:hAnsi="Times New Roman" w:cs="Times New Roman"/>
          <w:b/>
          <w:sz w:val="28"/>
          <w:szCs w:val="28"/>
        </w:rPr>
        <w:t>ах</w:t>
      </w:r>
      <w:r w:rsidR="00C45681" w:rsidRPr="00C4655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390B" w:rsidRPr="00C46551">
        <w:rPr>
          <w:rFonts w:ascii="Times New Roman" w:hAnsi="Times New Roman" w:cs="Times New Roman"/>
          <w:b/>
          <w:sz w:val="28"/>
          <w:szCs w:val="28"/>
        </w:rPr>
        <w:t xml:space="preserve">мониторинга качества финансового </w:t>
      </w:r>
    </w:p>
    <w:p w:rsidR="00D8189C" w:rsidRPr="00C46551" w:rsidRDefault="000C390B" w:rsidP="00D8189C">
      <w:pPr>
        <w:tabs>
          <w:tab w:val="left" w:pos="89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51">
        <w:rPr>
          <w:rFonts w:ascii="Times New Roman" w:hAnsi="Times New Roman" w:cs="Times New Roman"/>
          <w:b/>
          <w:sz w:val="28"/>
          <w:szCs w:val="28"/>
        </w:rPr>
        <w:t xml:space="preserve">менеджмента, осуществляемого главными </w:t>
      </w:r>
      <w:r w:rsidR="00D8189C" w:rsidRPr="00C46551">
        <w:rPr>
          <w:rFonts w:ascii="Times New Roman" w:hAnsi="Times New Roman" w:cs="Times New Roman"/>
          <w:b/>
          <w:sz w:val="28"/>
          <w:szCs w:val="28"/>
        </w:rPr>
        <w:t xml:space="preserve">администраторами </w:t>
      </w:r>
    </w:p>
    <w:p w:rsidR="00D8189C" w:rsidRPr="00C46551" w:rsidRDefault="00D8189C" w:rsidP="00D8189C">
      <w:pPr>
        <w:tabs>
          <w:tab w:val="left" w:pos="89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51">
        <w:rPr>
          <w:rFonts w:ascii="Times New Roman" w:hAnsi="Times New Roman" w:cs="Times New Roman"/>
          <w:b/>
          <w:sz w:val="28"/>
          <w:szCs w:val="28"/>
        </w:rPr>
        <w:t>средств бюджета города Югорска</w:t>
      </w:r>
      <w:r w:rsidR="00566128" w:rsidRPr="00C46551">
        <w:rPr>
          <w:rFonts w:ascii="Times New Roman" w:hAnsi="Times New Roman" w:cs="Times New Roman"/>
          <w:b/>
          <w:sz w:val="28"/>
          <w:szCs w:val="28"/>
        </w:rPr>
        <w:t>,</w:t>
      </w:r>
      <w:r w:rsidRPr="00C4655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8189C" w:rsidRPr="00C46551" w:rsidRDefault="00D8189C" w:rsidP="00D8189C">
      <w:pPr>
        <w:tabs>
          <w:tab w:val="left" w:pos="8903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6551">
        <w:rPr>
          <w:rFonts w:ascii="Times New Roman" w:hAnsi="Times New Roman" w:cs="Times New Roman"/>
          <w:b/>
          <w:sz w:val="28"/>
          <w:szCs w:val="28"/>
        </w:rPr>
        <w:t>за 201</w:t>
      </w:r>
      <w:r w:rsidR="00FD799A" w:rsidRPr="00C46551">
        <w:rPr>
          <w:rFonts w:ascii="Times New Roman" w:hAnsi="Times New Roman" w:cs="Times New Roman"/>
          <w:b/>
          <w:sz w:val="28"/>
          <w:szCs w:val="28"/>
        </w:rPr>
        <w:t>6</w:t>
      </w:r>
      <w:r w:rsidRPr="00C46551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8189C" w:rsidRPr="009A1A75" w:rsidRDefault="00D8189C" w:rsidP="00D8189C">
      <w:pPr>
        <w:jc w:val="center"/>
        <w:rPr>
          <w:b/>
          <w:color w:val="000000"/>
          <w:sz w:val="24"/>
          <w:szCs w:val="24"/>
        </w:rPr>
      </w:pPr>
    </w:p>
    <w:p w:rsidR="00D8189C" w:rsidRPr="00C46551" w:rsidRDefault="00D8189C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551">
        <w:rPr>
          <w:rFonts w:ascii="Times New Roman" w:hAnsi="Times New Roman" w:cs="Times New Roman"/>
          <w:sz w:val="24"/>
          <w:szCs w:val="24"/>
        </w:rPr>
        <w:t>Мониторинг качества финансового менеджмента, осуществляемого главными администраторами средств бюджета города Югорска (далее – ГАБС), за 201</w:t>
      </w:r>
      <w:r w:rsidR="00FD799A" w:rsidRPr="00C46551">
        <w:rPr>
          <w:rFonts w:ascii="Times New Roman" w:hAnsi="Times New Roman" w:cs="Times New Roman"/>
          <w:sz w:val="24"/>
          <w:szCs w:val="24"/>
        </w:rPr>
        <w:t>6</w:t>
      </w:r>
      <w:r w:rsidRPr="00C46551">
        <w:rPr>
          <w:rFonts w:ascii="Times New Roman" w:hAnsi="Times New Roman" w:cs="Times New Roman"/>
          <w:sz w:val="24"/>
          <w:szCs w:val="24"/>
        </w:rPr>
        <w:t xml:space="preserve"> год проводился на основе показателей, указанных в приложении 1 к Порядку проведения мониторинга качества финансового менеджмента, осуществляемого главными администраторами средств бюджета города Югорска, утверждённому приказом </w:t>
      </w:r>
      <w:r w:rsidR="00715089">
        <w:rPr>
          <w:rFonts w:ascii="Times New Roman" w:hAnsi="Times New Roman" w:cs="Times New Roman"/>
          <w:sz w:val="24"/>
          <w:szCs w:val="24"/>
        </w:rPr>
        <w:t>заместителя главы города – директора д</w:t>
      </w:r>
      <w:r w:rsidRPr="00C46551">
        <w:rPr>
          <w:rFonts w:ascii="Times New Roman" w:hAnsi="Times New Roman" w:cs="Times New Roman"/>
          <w:sz w:val="24"/>
          <w:szCs w:val="24"/>
        </w:rPr>
        <w:t>епартамента финансов администрации города Югорска от 09.06.2015 № 21п «О мониторинге качества финансового менеджмента, осуществляемого главными администраторами</w:t>
      </w:r>
      <w:proofErr w:type="gramEnd"/>
      <w:r w:rsidRPr="00C46551">
        <w:rPr>
          <w:rFonts w:ascii="Times New Roman" w:hAnsi="Times New Roman" w:cs="Times New Roman"/>
          <w:sz w:val="24"/>
          <w:szCs w:val="24"/>
        </w:rPr>
        <w:t xml:space="preserve"> средств бюджета города Югорска» (с изменениями от 19.02.2016 № 8п</w:t>
      </w:r>
      <w:r w:rsidR="00FD799A" w:rsidRPr="00C46551">
        <w:rPr>
          <w:rFonts w:ascii="Times New Roman" w:hAnsi="Times New Roman" w:cs="Times New Roman"/>
          <w:sz w:val="24"/>
          <w:szCs w:val="24"/>
        </w:rPr>
        <w:t>; от 28.03.2016 № 13п</w:t>
      </w:r>
      <w:r w:rsidR="00AB121C" w:rsidRPr="00C46551">
        <w:rPr>
          <w:rFonts w:ascii="Times New Roman" w:hAnsi="Times New Roman" w:cs="Times New Roman"/>
          <w:sz w:val="24"/>
          <w:szCs w:val="24"/>
        </w:rPr>
        <w:t>; 15.06.2016 №</w:t>
      </w:r>
      <w:r w:rsidR="00C46551" w:rsidRPr="00C46551">
        <w:rPr>
          <w:rFonts w:ascii="Times New Roman" w:hAnsi="Times New Roman" w:cs="Times New Roman"/>
          <w:sz w:val="24"/>
          <w:szCs w:val="24"/>
        </w:rPr>
        <w:t xml:space="preserve"> </w:t>
      </w:r>
      <w:r w:rsidR="00AB121C" w:rsidRPr="00C46551">
        <w:rPr>
          <w:rFonts w:ascii="Times New Roman" w:hAnsi="Times New Roman" w:cs="Times New Roman"/>
          <w:sz w:val="24"/>
          <w:szCs w:val="24"/>
        </w:rPr>
        <w:t>28п</w:t>
      </w:r>
      <w:r w:rsidRPr="00C46551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C46551" w:rsidRDefault="00D8189C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46551">
        <w:rPr>
          <w:rFonts w:ascii="Times New Roman" w:hAnsi="Times New Roman" w:cs="Times New Roman"/>
          <w:sz w:val="24"/>
          <w:szCs w:val="24"/>
        </w:rPr>
        <w:t>Мониторинг качества финансового менеджмента за 201</w:t>
      </w:r>
      <w:r w:rsidR="00AB121C" w:rsidRPr="00C46551">
        <w:rPr>
          <w:rFonts w:ascii="Times New Roman" w:hAnsi="Times New Roman" w:cs="Times New Roman"/>
          <w:sz w:val="24"/>
          <w:szCs w:val="24"/>
        </w:rPr>
        <w:t>6</w:t>
      </w:r>
      <w:r w:rsidRPr="00C46551">
        <w:rPr>
          <w:rFonts w:ascii="Times New Roman" w:hAnsi="Times New Roman" w:cs="Times New Roman"/>
          <w:sz w:val="24"/>
          <w:szCs w:val="24"/>
        </w:rPr>
        <w:t xml:space="preserve"> год проводился на основании </w:t>
      </w:r>
      <w:r w:rsidRPr="00C46551">
        <w:rPr>
          <w:rFonts w:ascii="Times New Roman" w:eastAsia="Times New Roman" w:hAnsi="Times New Roman" w:cs="Times New Roman"/>
          <w:sz w:val="24"/>
          <w:szCs w:val="24"/>
        </w:rPr>
        <w:t xml:space="preserve">данных и материалов, представленных главными администраторами бюджетных средств в Департамент финансов </w:t>
      </w:r>
      <w:r w:rsidR="00600A22" w:rsidRPr="00C46551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="004E196A" w:rsidRPr="00C46551">
        <w:rPr>
          <w:rFonts w:ascii="Times New Roman" w:hAnsi="Times New Roman" w:cs="Times New Roman"/>
          <w:sz w:val="24"/>
          <w:szCs w:val="24"/>
        </w:rPr>
        <w:t>, а также общедоступных (опубликованных или размещенных на официальном сайте администрации города Югорска в сети Интернет) сведений,</w:t>
      </w:r>
      <w:r w:rsidR="00600A22" w:rsidRPr="00C46551">
        <w:rPr>
          <w:rFonts w:ascii="Times New Roman" w:hAnsi="Times New Roman" w:cs="Times New Roman"/>
          <w:sz w:val="24"/>
          <w:szCs w:val="24"/>
        </w:rPr>
        <w:t xml:space="preserve"> </w:t>
      </w:r>
      <w:r w:rsidRPr="00C46551">
        <w:rPr>
          <w:rFonts w:ascii="Times New Roman" w:eastAsia="Times New Roman" w:hAnsi="Times New Roman" w:cs="Times New Roman"/>
          <w:sz w:val="24"/>
          <w:szCs w:val="24"/>
        </w:rPr>
        <w:t xml:space="preserve">с использованием методики балльной оценки качества финансового менеджмента </w:t>
      </w:r>
      <w:r w:rsidRPr="00C46551">
        <w:rPr>
          <w:rFonts w:ascii="Times New Roman" w:hAnsi="Times New Roman" w:cs="Times New Roman"/>
          <w:sz w:val="24"/>
          <w:szCs w:val="24"/>
        </w:rPr>
        <w:t>по следующим группам показателей:</w:t>
      </w:r>
      <w:proofErr w:type="gramEnd"/>
    </w:p>
    <w:p w:rsidR="00D8189C" w:rsidRPr="00C46551" w:rsidRDefault="00D8189C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551">
        <w:rPr>
          <w:rFonts w:ascii="Times New Roman" w:hAnsi="Times New Roman" w:cs="Times New Roman"/>
          <w:sz w:val="24"/>
          <w:szCs w:val="24"/>
        </w:rPr>
        <w:t xml:space="preserve">оценка качества планирования расходов бюджета; </w:t>
      </w:r>
    </w:p>
    <w:p w:rsidR="00D8189C" w:rsidRPr="00C46551" w:rsidRDefault="00D8189C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551">
        <w:rPr>
          <w:rFonts w:ascii="Times New Roman" w:hAnsi="Times New Roman" w:cs="Times New Roman"/>
          <w:sz w:val="24"/>
          <w:szCs w:val="24"/>
        </w:rPr>
        <w:t xml:space="preserve">оценка результатов исполнения бюджета; </w:t>
      </w:r>
    </w:p>
    <w:p w:rsidR="00D8189C" w:rsidRPr="00C46551" w:rsidRDefault="00D8189C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551">
        <w:rPr>
          <w:rFonts w:ascii="Times New Roman" w:hAnsi="Times New Roman" w:cs="Times New Roman"/>
          <w:sz w:val="24"/>
          <w:szCs w:val="24"/>
        </w:rPr>
        <w:t>оценка состояния учёта и отчётности;</w:t>
      </w:r>
    </w:p>
    <w:p w:rsidR="00D8189C" w:rsidRPr="00C46551" w:rsidRDefault="00D8189C" w:rsidP="00DD57AF">
      <w:pPr>
        <w:numPr>
          <w:ilvl w:val="0"/>
          <w:numId w:val="7"/>
        </w:numPr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551">
        <w:rPr>
          <w:rFonts w:ascii="Times New Roman" w:hAnsi="Times New Roman" w:cs="Times New Roman"/>
          <w:sz w:val="24"/>
          <w:szCs w:val="24"/>
        </w:rPr>
        <w:t>оценка исполнения судебных актов;</w:t>
      </w:r>
    </w:p>
    <w:p w:rsidR="00D8189C" w:rsidRPr="00C46551" w:rsidRDefault="00D8189C" w:rsidP="00DD57AF">
      <w:pPr>
        <w:numPr>
          <w:ilvl w:val="0"/>
          <w:numId w:val="7"/>
        </w:numPr>
        <w:shd w:val="clear" w:color="auto" w:fill="FFFFFF"/>
        <w:tabs>
          <w:tab w:val="clear" w:pos="720"/>
          <w:tab w:val="num" w:pos="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46551">
        <w:rPr>
          <w:rFonts w:ascii="Times New Roman" w:hAnsi="Times New Roman" w:cs="Times New Roman"/>
          <w:sz w:val="24"/>
          <w:szCs w:val="24"/>
          <w:shd w:val="clear" w:color="auto" w:fill="FFFFFF"/>
        </w:rPr>
        <w:t>оц</w:t>
      </w:r>
      <w:r w:rsidRPr="00C46551">
        <w:rPr>
          <w:rFonts w:ascii="Times New Roman" w:hAnsi="Times New Roman" w:cs="Times New Roman"/>
          <w:sz w:val="24"/>
          <w:szCs w:val="24"/>
        </w:rPr>
        <w:t>енка кадрового потенциала экономических и бухгалтерских служб.</w:t>
      </w:r>
    </w:p>
    <w:p w:rsidR="00DD57AF" w:rsidRPr="009A1A75" w:rsidRDefault="00DD57AF" w:rsidP="00DD57AF">
      <w:pPr>
        <w:shd w:val="clear" w:color="auto" w:fill="FFFFFF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189C" w:rsidRPr="00F41168" w:rsidRDefault="00D8189C" w:rsidP="00D8189C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F41168">
        <w:rPr>
          <w:rFonts w:ascii="Times New Roman" w:hAnsi="Times New Roman" w:cs="Times New Roman"/>
          <w:noProof/>
          <w:color w:val="FF0000"/>
          <w:sz w:val="24"/>
          <w:szCs w:val="24"/>
        </w:rPr>
        <w:drawing>
          <wp:inline distT="0" distB="0" distL="0" distR="0">
            <wp:extent cx="6367119" cy="2640787"/>
            <wp:effectExtent l="19050" t="0" r="0" b="0"/>
            <wp:docPr id="8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161C80" w:rsidRPr="00975D6A" w:rsidRDefault="00D52ECB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6A">
        <w:rPr>
          <w:rFonts w:ascii="Times New Roman" w:eastAsia="Times New Roman" w:hAnsi="Times New Roman" w:cs="Times New Roman"/>
          <w:sz w:val="24"/>
          <w:szCs w:val="24"/>
        </w:rPr>
        <w:t>Мониторинг проводился по 44 показателям</w:t>
      </w:r>
      <w:r w:rsidR="00C307A8" w:rsidRPr="00975D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61C80" w:rsidRPr="00975D6A" w:rsidRDefault="00161C80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0D4A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</w:t>
      </w:r>
      <w:r w:rsidR="005F49C9" w:rsidRPr="00260D4A">
        <w:rPr>
          <w:rFonts w:ascii="Times New Roman" w:eastAsia="Times New Roman" w:hAnsi="Times New Roman" w:cs="Times New Roman"/>
          <w:sz w:val="24"/>
          <w:szCs w:val="24"/>
        </w:rPr>
        <w:t xml:space="preserve">с </w:t>
      </w:r>
      <w:r w:rsidR="00A5325D" w:rsidRPr="00260D4A">
        <w:rPr>
          <w:rFonts w:ascii="Times New Roman" w:eastAsia="Times New Roman" w:hAnsi="Times New Roman" w:cs="Times New Roman"/>
          <w:sz w:val="24"/>
          <w:szCs w:val="24"/>
        </w:rPr>
        <w:t>изменениями</w:t>
      </w:r>
      <w:r w:rsidR="00975D6A" w:rsidRPr="00260D4A">
        <w:rPr>
          <w:rFonts w:ascii="Times New Roman" w:eastAsia="Times New Roman" w:hAnsi="Times New Roman" w:cs="Times New Roman"/>
          <w:sz w:val="24"/>
          <w:szCs w:val="24"/>
        </w:rPr>
        <w:t>,</w:t>
      </w:r>
      <w:r w:rsidR="00A5325D" w:rsidRPr="00260D4A">
        <w:rPr>
          <w:rFonts w:ascii="Times New Roman" w:eastAsia="Times New Roman" w:hAnsi="Times New Roman" w:cs="Times New Roman"/>
          <w:sz w:val="24"/>
          <w:szCs w:val="24"/>
        </w:rPr>
        <w:t xml:space="preserve"> внесенными в </w:t>
      </w:r>
      <w:r w:rsidRPr="00260D4A">
        <w:rPr>
          <w:rFonts w:ascii="Times New Roman" w:eastAsia="Times New Roman" w:hAnsi="Times New Roman" w:cs="Times New Roman"/>
          <w:sz w:val="24"/>
          <w:szCs w:val="24"/>
        </w:rPr>
        <w:t>приказ</w:t>
      </w:r>
      <w:r w:rsidR="00380051" w:rsidRPr="00260D4A">
        <w:rPr>
          <w:rFonts w:ascii="Times New Roman" w:eastAsia="Times New Roman" w:hAnsi="Times New Roman" w:cs="Times New Roman"/>
          <w:sz w:val="24"/>
          <w:szCs w:val="24"/>
        </w:rPr>
        <w:t xml:space="preserve"> заместителя главы города - директора</w:t>
      </w:r>
      <w:r w:rsidRPr="00260D4A">
        <w:rPr>
          <w:rFonts w:ascii="Times New Roman" w:eastAsia="Times New Roman" w:hAnsi="Times New Roman" w:cs="Times New Roman"/>
          <w:sz w:val="24"/>
          <w:szCs w:val="24"/>
        </w:rPr>
        <w:t xml:space="preserve"> департамента финансов администрации города Югорска от 09.06.2015 № 21п «</w:t>
      </w:r>
      <w:r w:rsidR="005F49C9" w:rsidRPr="00260D4A">
        <w:rPr>
          <w:rFonts w:ascii="Times New Roman" w:eastAsia="Times New Roman" w:hAnsi="Times New Roman" w:cs="Times New Roman"/>
          <w:sz w:val="24"/>
          <w:szCs w:val="24"/>
        </w:rPr>
        <w:t>О мониторинге качества финансового менеджмента, осуществляемого главными администраторами средств бюджета города Югорска</w:t>
      </w:r>
      <w:r w:rsidRPr="00260D4A">
        <w:rPr>
          <w:rFonts w:ascii="Times New Roman" w:eastAsia="Times New Roman" w:hAnsi="Times New Roman" w:cs="Times New Roman"/>
          <w:sz w:val="24"/>
          <w:szCs w:val="24"/>
        </w:rPr>
        <w:t>»:</w:t>
      </w:r>
    </w:p>
    <w:p w:rsidR="00161C80" w:rsidRDefault="00161C80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975D6A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D52ECB" w:rsidRPr="00975D6A">
        <w:rPr>
          <w:rFonts w:ascii="Times New Roman" w:eastAsia="Times New Roman" w:hAnsi="Times New Roman" w:cs="Times New Roman"/>
          <w:sz w:val="24"/>
          <w:szCs w:val="24"/>
        </w:rPr>
        <w:t>оказатель 1.1</w:t>
      </w:r>
      <w:r w:rsidR="007A66DD" w:rsidRPr="00975D6A">
        <w:rPr>
          <w:rFonts w:ascii="Times New Roman" w:eastAsia="Times New Roman" w:hAnsi="Times New Roman" w:cs="Times New Roman"/>
          <w:sz w:val="24"/>
          <w:szCs w:val="24"/>
        </w:rPr>
        <w:t>4</w:t>
      </w:r>
      <w:r w:rsidR="00D52ECB" w:rsidRPr="00975D6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7A66DD" w:rsidRPr="00975D6A">
        <w:rPr>
          <w:rFonts w:ascii="Times New Roman" w:eastAsia="Times New Roman" w:hAnsi="Times New Roman" w:cs="Times New Roman"/>
          <w:sz w:val="24"/>
          <w:szCs w:val="24"/>
        </w:rPr>
        <w:t>Доля расходов ГРБС на оказание муниципальных услуг (выполнение работ) физическим и юридическим лицам, оказываемых в соответствии с муниципальными заданиями</w:t>
      </w:r>
      <w:r w:rsidR="00D52ECB" w:rsidRPr="00975D6A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7A66DD" w:rsidRPr="00975D6A">
        <w:rPr>
          <w:rFonts w:ascii="Times New Roman" w:eastAsia="Times New Roman" w:hAnsi="Times New Roman" w:cs="Times New Roman"/>
          <w:sz w:val="24"/>
          <w:szCs w:val="24"/>
        </w:rPr>
        <w:t>заменен на</w:t>
      </w:r>
      <w:r w:rsidR="00975D6A">
        <w:rPr>
          <w:rFonts w:ascii="Times New Roman" w:eastAsia="Times New Roman" w:hAnsi="Times New Roman" w:cs="Times New Roman"/>
          <w:sz w:val="24"/>
          <w:szCs w:val="24"/>
        </w:rPr>
        <w:t xml:space="preserve"> показатель</w:t>
      </w:r>
      <w:r w:rsidR="007A66DD" w:rsidRPr="00975D6A">
        <w:rPr>
          <w:rFonts w:ascii="Times New Roman" w:eastAsia="Times New Roman" w:hAnsi="Times New Roman" w:cs="Times New Roman"/>
          <w:sz w:val="24"/>
          <w:szCs w:val="24"/>
        </w:rPr>
        <w:t xml:space="preserve"> «Наличие/отсутствие необоснованных направлений расходов, включенных ГРБС в проект бюджета на очередной финансовый год и плановый период»</w:t>
      </w:r>
      <w:r w:rsidRPr="00975D6A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975D6A" w:rsidRPr="00975D6A" w:rsidRDefault="00975D6A" w:rsidP="00975D6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6A">
        <w:rPr>
          <w:rFonts w:ascii="Times New Roman" w:eastAsia="Times New Roman" w:hAnsi="Times New Roman" w:cs="Times New Roman"/>
          <w:sz w:val="24"/>
          <w:szCs w:val="24"/>
        </w:rPr>
        <w:t>- показатель 1.18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« Проведение </w:t>
      </w:r>
      <w:r w:rsidR="00031BDE">
        <w:rPr>
          <w:rFonts w:ascii="Times New Roman" w:eastAsia="Times New Roman" w:hAnsi="Times New Roman" w:cs="Times New Roman"/>
          <w:sz w:val="24"/>
          <w:szCs w:val="24"/>
        </w:rPr>
        <w:t>оценки потребности в оказании муниципальных услуг в соответствии с установленным порядком» на показатель</w:t>
      </w:r>
      <w:r w:rsidRPr="00975D6A">
        <w:rPr>
          <w:rFonts w:ascii="Times New Roman" w:eastAsia="Times New Roman" w:hAnsi="Times New Roman" w:cs="Times New Roman"/>
          <w:sz w:val="24"/>
          <w:szCs w:val="24"/>
        </w:rPr>
        <w:t xml:space="preserve"> «Полнота предложений по введению новых (увеличению действующих) расходных обязательств, представленных ГРБС для внесения изменений в решение Думы города о бюджете».</w:t>
      </w:r>
    </w:p>
    <w:p w:rsidR="00975D6A" w:rsidRPr="00975D6A" w:rsidRDefault="00975D6A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61C80" w:rsidRPr="00975D6A" w:rsidRDefault="00161C80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6A">
        <w:rPr>
          <w:rFonts w:ascii="Times New Roman" w:eastAsia="Times New Roman" w:hAnsi="Times New Roman" w:cs="Times New Roman"/>
          <w:sz w:val="24"/>
          <w:szCs w:val="24"/>
        </w:rPr>
        <w:lastRenderedPageBreak/>
        <w:t>- п</w:t>
      </w:r>
      <w:r w:rsidR="00E4360A" w:rsidRPr="00975D6A">
        <w:rPr>
          <w:rFonts w:ascii="Times New Roman" w:eastAsia="Times New Roman" w:hAnsi="Times New Roman" w:cs="Times New Roman"/>
          <w:sz w:val="24"/>
          <w:szCs w:val="24"/>
        </w:rPr>
        <w:t>оказатель 2.5 «</w:t>
      </w:r>
      <w:r w:rsidR="000B73A0" w:rsidRPr="00975D6A">
        <w:rPr>
          <w:rFonts w:ascii="Times New Roman" w:eastAsia="Times New Roman" w:hAnsi="Times New Roman" w:cs="Times New Roman"/>
          <w:sz w:val="24"/>
          <w:szCs w:val="24"/>
        </w:rPr>
        <w:t>Качество планирования прогноза кассовых выплат</w:t>
      </w:r>
      <w:r w:rsidR="00E4360A" w:rsidRPr="00975D6A">
        <w:rPr>
          <w:rFonts w:ascii="Times New Roman" w:eastAsia="Times New Roman" w:hAnsi="Times New Roman" w:cs="Times New Roman"/>
          <w:sz w:val="24"/>
          <w:szCs w:val="24"/>
        </w:rPr>
        <w:t>» заменен на</w:t>
      </w:r>
      <w:r w:rsidR="00975D6A">
        <w:rPr>
          <w:rFonts w:ascii="Times New Roman" w:eastAsia="Times New Roman" w:hAnsi="Times New Roman" w:cs="Times New Roman"/>
          <w:sz w:val="24"/>
          <w:szCs w:val="24"/>
        </w:rPr>
        <w:t xml:space="preserve"> показатель</w:t>
      </w:r>
      <w:r w:rsidR="00E4360A" w:rsidRPr="00975D6A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6C26A0" w:rsidRPr="00975D6A">
        <w:rPr>
          <w:rFonts w:ascii="Times New Roman" w:eastAsia="Times New Roman" w:hAnsi="Times New Roman" w:cs="Times New Roman"/>
          <w:sz w:val="24"/>
          <w:szCs w:val="24"/>
        </w:rPr>
        <w:t>Качество составления ГРБС прогнозов отдельных кассовых выплат по расходам</w:t>
      </w:r>
      <w:r w:rsidR="00E4360A" w:rsidRPr="00975D6A">
        <w:rPr>
          <w:rFonts w:ascii="Times New Roman" w:eastAsia="Times New Roman" w:hAnsi="Times New Roman" w:cs="Times New Roman"/>
          <w:sz w:val="24"/>
          <w:szCs w:val="24"/>
        </w:rPr>
        <w:t>»</w:t>
      </w:r>
      <w:r w:rsidRPr="00975D6A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61C80" w:rsidRPr="00975D6A" w:rsidRDefault="00161C80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5D6A">
        <w:rPr>
          <w:rFonts w:ascii="Times New Roman" w:eastAsia="Times New Roman" w:hAnsi="Times New Roman" w:cs="Times New Roman"/>
          <w:sz w:val="24"/>
          <w:szCs w:val="24"/>
        </w:rPr>
        <w:t>- п</w:t>
      </w:r>
      <w:r w:rsidR="00E4360A" w:rsidRPr="00975D6A">
        <w:rPr>
          <w:rFonts w:ascii="Times New Roman" w:eastAsia="Times New Roman" w:hAnsi="Times New Roman" w:cs="Times New Roman"/>
          <w:sz w:val="24"/>
          <w:szCs w:val="24"/>
        </w:rPr>
        <w:t>оказатель 2.10 «</w:t>
      </w:r>
      <w:r w:rsidR="006E0009" w:rsidRPr="00975D6A">
        <w:rPr>
          <w:rFonts w:ascii="Times New Roman" w:eastAsia="Times New Roman" w:hAnsi="Times New Roman" w:cs="Times New Roman"/>
          <w:sz w:val="24"/>
          <w:szCs w:val="24"/>
        </w:rPr>
        <w:t xml:space="preserve">Удельный вес муниципальных услуг (работ), получивших по результатам оценки эффективности и результативности выполнения муниципального задания интерпретацию итоговой оценки </w:t>
      </w:r>
      <w:r w:rsidR="003C16FD" w:rsidRPr="00975D6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0009" w:rsidRPr="00975D6A">
        <w:rPr>
          <w:rFonts w:ascii="Times New Roman" w:eastAsia="Times New Roman" w:hAnsi="Times New Roman" w:cs="Times New Roman"/>
          <w:sz w:val="24"/>
          <w:szCs w:val="24"/>
        </w:rPr>
        <w:t>Муниципальное задание перевыполнено</w:t>
      </w:r>
      <w:r w:rsidR="003C16FD" w:rsidRPr="00975D6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0009" w:rsidRPr="00975D6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C16FD" w:rsidRPr="00975D6A">
        <w:rPr>
          <w:rFonts w:ascii="Times New Roman" w:eastAsia="Times New Roman" w:hAnsi="Times New Roman" w:cs="Times New Roman"/>
          <w:sz w:val="24"/>
          <w:szCs w:val="24"/>
        </w:rPr>
        <w:t>«</w:t>
      </w:r>
      <w:r w:rsidR="006E0009" w:rsidRPr="00975D6A">
        <w:rPr>
          <w:rFonts w:ascii="Times New Roman" w:eastAsia="Times New Roman" w:hAnsi="Times New Roman" w:cs="Times New Roman"/>
          <w:sz w:val="24"/>
          <w:szCs w:val="24"/>
        </w:rPr>
        <w:t>"Муниципальное задание выполнено в полном объеме</w:t>
      </w:r>
      <w:r w:rsidR="003C16FD" w:rsidRPr="00975D6A"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0009" w:rsidRPr="00975D6A">
        <w:rPr>
          <w:rFonts w:ascii="Times New Roman" w:eastAsia="Times New Roman" w:hAnsi="Times New Roman" w:cs="Times New Roman"/>
          <w:sz w:val="24"/>
          <w:szCs w:val="24"/>
        </w:rPr>
        <w:t>, в общем количестве муниципальных услуг (работ), оказываемых (выполняемых) подведомственными муниципальными бюджетными и автономными учреждениями</w:t>
      </w:r>
      <w:r w:rsidR="00E4360A" w:rsidRPr="00975D6A">
        <w:rPr>
          <w:rFonts w:ascii="Times New Roman" w:eastAsia="Times New Roman" w:hAnsi="Times New Roman" w:cs="Times New Roman"/>
          <w:sz w:val="24"/>
          <w:szCs w:val="24"/>
        </w:rPr>
        <w:t>» исключен из Мониторинга</w:t>
      </w:r>
      <w:r w:rsidR="00260D4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8189C" w:rsidRPr="00031BDE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1BDE">
        <w:rPr>
          <w:rFonts w:ascii="Times New Roman" w:eastAsia="Times New Roman" w:hAnsi="Times New Roman" w:cs="Times New Roman"/>
          <w:sz w:val="24"/>
          <w:szCs w:val="24"/>
        </w:rPr>
        <w:t>Основными группами показателей в оценке качества финансового менеджмента являются: «</w:t>
      </w:r>
      <w:r w:rsidR="00F02969" w:rsidRPr="00031BDE">
        <w:rPr>
          <w:rFonts w:ascii="Times New Roman" w:eastAsia="Times New Roman" w:hAnsi="Times New Roman" w:cs="Times New Roman"/>
          <w:sz w:val="24"/>
          <w:szCs w:val="24"/>
        </w:rPr>
        <w:t>Оценка качества планирования расходов бюджета</w:t>
      </w:r>
      <w:r w:rsidRPr="00031BDE">
        <w:rPr>
          <w:rFonts w:ascii="Times New Roman" w:eastAsia="Times New Roman" w:hAnsi="Times New Roman" w:cs="Times New Roman"/>
          <w:sz w:val="24"/>
          <w:szCs w:val="24"/>
        </w:rPr>
        <w:t>» и «</w:t>
      </w:r>
      <w:r w:rsidR="00F02969" w:rsidRPr="00031BDE">
        <w:rPr>
          <w:rFonts w:ascii="Times New Roman" w:eastAsia="Times New Roman" w:hAnsi="Times New Roman" w:cs="Times New Roman"/>
          <w:sz w:val="24"/>
          <w:szCs w:val="24"/>
        </w:rPr>
        <w:t>Оценка результатов исполнения бюджета</w:t>
      </w:r>
      <w:r w:rsidRPr="00031BDE">
        <w:rPr>
          <w:rFonts w:ascii="Times New Roman" w:eastAsia="Times New Roman" w:hAnsi="Times New Roman" w:cs="Times New Roman"/>
          <w:sz w:val="24"/>
          <w:szCs w:val="24"/>
        </w:rPr>
        <w:t xml:space="preserve">», имеющие удельный вес </w:t>
      </w:r>
      <w:r w:rsidR="00E068A4" w:rsidRPr="00031BDE">
        <w:rPr>
          <w:rFonts w:ascii="Times New Roman" w:eastAsia="Times New Roman" w:hAnsi="Times New Roman" w:cs="Times New Roman"/>
          <w:sz w:val="24"/>
          <w:szCs w:val="24"/>
        </w:rPr>
        <w:t xml:space="preserve">по количеству показателей </w:t>
      </w:r>
      <w:r w:rsidR="00F02969" w:rsidRPr="00031BDE">
        <w:rPr>
          <w:rFonts w:ascii="Times New Roman" w:eastAsia="Times New Roman" w:hAnsi="Times New Roman" w:cs="Times New Roman"/>
          <w:sz w:val="24"/>
          <w:szCs w:val="24"/>
        </w:rPr>
        <w:t>43,2% и 38,7% соответственно.</w:t>
      </w:r>
      <w:r w:rsidRPr="00031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969" w:rsidRPr="00031BDE">
        <w:rPr>
          <w:rFonts w:ascii="Times New Roman" w:eastAsia="Times New Roman" w:hAnsi="Times New Roman" w:cs="Times New Roman"/>
          <w:sz w:val="24"/>
          <w:szCs w:val="24"/>
        </w:rPr>
        <w:t>Группы показателей «Оценка состояния учёта и отчётности», «Оценка исполнения судебных актов», «Оценка кадрового потенциала экономических и бухгалтерских служб»</w:t>
      </w:r>
      <w:r w:rsidRPr="00031BD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02969" w:rsidRPr="00031BDE">
        <w:rPr>
          <w:rFonts w:ascii="Times New Roman" w:eastAsia="Times New Roman" w:hAnsi="Times New Roman" w:cs="Times New Roman"/>
          <w:sz w:val="24"/>
          <w:szCs w:val="24"/>
        </w:rPr>
        <w:t>имеют</w:t>
      </w:r>
      <w:r w:rsidRPr="00031BDE">
        <w:rPr>
          <w:rFonts w:ascii="Times New Roman" w:eastAsia="Times New Roman" w:hAnsi="Times New Roman" w:cs="Times New Roman"/>
          <w:sz w:val="24"/>
          <w:szCs w:val="24"/>
        </w:rPr>
        <w:t xml:space="preserve"> удельный вес </w:t>
      </w:r>
      <w:r w:rsidR="00F02969" w:rsidRPr="00031BDE">
        <w:rPr>
          <w:rFonts w:ascii="Times New Roman" w:eastAsia="Times New Roman" w:hAnsi="Times New Roman" w:cs="Times New Roman"/>
          <w:sz w:val="24"/>
          <w:szCs w:val="24"/>
        </w:rPr>
        <w:t>9,1</w:t>
      </w:r>
      <w:r w:rsidRPr="00031BDE">
        <w:rPr>
          <w:rFonts w:ascii="Times New Roman" w:eastAsia="Times New Roman" w:hAnsi="Times New Roman" w:cs="Times New Roman"/>
          <w:sz w:val="24"/>
          <w:szCs w:val="24"/>
        </w:rPr>
        <w:t>%</w:t>
      </w:r>
      <w:r w:rsidR="00F02969" w:rsidRPr="00031BDE">
        <w:rPr>
          <w:rFonts w:ascii="Times New Roman" w:eastAsia="Times New Roman" w:hAnsi="Times New Roman" w:cs="Times New Roman"/>
          <w:sz w:val="24"/>
          <w:szCs w:val="24"/>
        </w:rPr>
        <w:t>, 4,5%, 4,5%</w:t>
      </w:r>
      <w:r w:rsidR="0036379B" w:rsidRPr="00031BDE">
        <w:rPr>
          <w:rFonts w:ascii="Times New Roman" w:eastAsia="Times New Roman" w:hAnsi="Times New Roman" w:cs="Times New Roman"/>
          <w:sz w:val="24"/>
          <w:szCs w:val="24"/>
        </w:rPr>
        <w:t xml:space="preserve"> соответственно</w:t>
      </w:r>
      <w:r w:rsidRPr="00031BD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6F78" w:rsidRPr="00DA0F93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Качество финансового менеджмента в существенной степени зависит от организации главными распорядителями средств бюджета </w:t>
      </w:r>
      <w:r w:rsidR="00F02969" w:rsidRPr="00DA0F93">
        <w:rPr>
          <w:rFonts w:ascii="Times New Roman" w:eastAsia="Times New Roman" w:hAnsi="Times New Roman" w:cs="Times New Roman"/>
          <w:sz w:val="24"/>
          <w:szCs w:val="24"/>
        </w:rPr>
        <w:t>города Югорска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 (далее также – ГРБС) процедур бюджетного планирования, исполнения бюджета, ведения бюджетного учета, составления и представления бюджетной отчетности.</w:t>
      </w:r>
      <w:r w:rsidR="00E068A4" w:rsidRPr="00DA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>Поэтому при оценке качества финансового менеджмента важное место занимает наличие и качество подготовки правовых актов ГРБС, регулирующих внутренние процедуры подготовки бюджетных проектировок, составления, утверждения и ведения бюджетных смет,</w:t>
      </w:r>
      <w:r w:rsidR="00F66F78" w:rsidRPr="00DA0F93">
        <w:rPr>
          <w:rFonts w:ascii="Times New Roman" w:eastAsia="Times New Roman" w:hAnsi="Times New Roman" w:cs="Times New Roman"/>
          <w:sz w:val="24"/>
          <w:szCs w:val="24"/>
        </w:rPr>
        <w:t xml:space="preserve"> распределени</w:t>
      </w:r>
      <w:r w:rsidR="0036379B" w:rsidRPr="00DA0F9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66F78" w:rsidRPr="00DA0F93">
        <w:rPr>
          <w:rFonts w:ascii="Times New Roman" w:eastAsia="Times New Roman" w:hAnsi="Times New Roman" w:cs="Times New Roman"/>
          <w:sz w:val="24"/>
          <w:szCs w:val="24"/>
        </w:rPr>
        <w:t xml:space="preserve"> бюджетных ассигнований между подведомственными муниципальными учреждениями с учетом достижения непосредственных рез</w:t>
      </w:r>
      <w:r w:rsidR="00E068A4" w:rsidRPr="00DA0F93">
        <w:rPr>
          <w:rFonts w:ascii="Times New Roman" w:eastAsia="Times New Roman" w:hAnsi="Times New Roman" w:cs="Times New Roman"/>
          <w:sz w:val="24"/>
          <w:szCs w:val="24"/>
        </w:rPr>
        <w:t>ультатов в отчетном периоде</w:t>
      </w:r>
      <w:r w:rsidR="0036379B" w:rsidRPr="00DA0F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E068A4" w:rsidRPr="00DA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6F78" w:rsidRPr="00DA0F93">
        <w:rPr>
          <w:rFonts w:ascii="Times New Roman" w:eastAsia="Times New Roman" w:hAnsi="Times New Roman" w:cs="Times New Roman"/>
          <w:sz w:val="24"/>
          <w:szCs w:val="24"/>
        </w:rPr>
        <w:t>составлени</w:t>
      </w:r>
      <w:r w:rsidR="0036379B" w:rsidRPr="00DA0F9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66F78" w:rsidRPr="00DA0F93">
        <w:rPr>
          <w:rFonts w:ascii="Times New Roman" w:eastAsia="Times New Roman" w:hAnsi="Times New Roman" w:cs="Times New Roman"/>
          <w:sz w:val="24"/>
          <w:szCs w:val="24"/>
        </w:rPr>
        <w:t xml:space="preserve"> и утверждени</w:t>
      </w:r>
      <w:r w:rsidR="0036379B" w:rsidRPr="00DA0F93">
        <w:rPr>
          <w:rFonts w:ascii="Times New Roman" w:eastAsia="Times New Roman" w:hAnsi="Times New Roman" w:cs="Times New Roman"/>
          <w:sz w:val="24"/>
          <w:szCs w:val="24"/>
        </w:rPr>
        <w:t>я</w:t>
      </w:r>
      <w:r w:rsidR="00F66F78" w:rsidRPr="00DA0F93">
        <w:rPr>
          <w:rFonts w:ascii="Times New Roman" w:eastAsia="Times New Roman" w:hAnsi="Times New Roman" w:cs="Times New Roman"/>
          <w:sz w:val="24"/>
          <w:szCs w:val="24"/>
        </w:rPr>
        <w:t xml:space="preserve"> планов финансово-хозяйственной деятельности.                                  </w:t>
      </w:r>
    </w:p>
    <w:p w:rsidR="00D8189C" w:rsidRPr="00DA0F93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В ходе Мониторинга были рассчитаны количественные показатели качества финансового менеджмента, наиболее значимыми из которых являются: </w:t>
      </w:r>
    </w:p>
    <w:p w:rsidR="004018D0" w:rsidRPr="00DA0F93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4018D0" w:rsidRPr="00DA0F93">
        <w:rPr>
          <w:rFonts w:ascii="Times New Roman" w:eastAsia="Times New Roman" w:hAnsi="Times New Roman" w:cs="Times New Roman"/>
          <w:sz w:val="24"/>
          <w:szCs w:val="24"/>
        </w:rPr>
        <w:t>доля суммы изменений в сводную бюджетную роспись и бюджетную роспись ГРБС за счет перераспределения ассигнований внутри ГРБС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18D0" w:rsidRPr="00DA0F93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4018D0" w:rsidRPr="00DA0F93">
        <w:rPr>
          <w:rFonts w:ascii="Times New Roman" w:eastAsia="Times New Roman" w:hAnsi="Times New Roman" w:cs="Times New Roman"/>
          <w:sz w:val="24"/>
          <w:szCs w:val="24"/>
        </w:rPr>
        <w:t>оля исполненных бюджетных ассиг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нований, процент исполнения доходов, </w:t>
      </w:r>
      <w:proofErr w:type="spellStart"/>
      <w:r w:rsidRPr="00DA0F93">
        <w:rPr>
          <w:rFonts w:ascii="Times New Roman" w:eastAsia="Times New Roman" w:hAnsi="Times New Roman" w:cs="Times New Roman"/>
          <w:sz w:val="24"/>
          <w:szCs w:val="24"/>
        </w:rPr>
        <w:t>администрируемых</w:t>
      </w:r>
      <w:proofErr w:type="spellEnd"/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 ГАДБ;</w:t>
      </w:r>
    </w:p>
    <w:p w:rsidR="004018D0" w:rsidRPr="00DA0F93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>- р</w:t>
      </w:r>
      <w:r w:rsidR="004018D0" w:rsidRPr="00DA0F93">
        <w:rPr>
          <w:rFonts w:ascii="Times New Roman" w:eastAsia="Times New Roman" w:hAnsi="Times New Roman" w:cs="Times New Roman"/>
          <w:sz w:val="24"/>
          <w:szCs w:val="24"/>
        </w:rPr>
        <w:t>авномерность расходов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18D0" w:rsidRPr="00DA0F93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36957" w:rsidRPr="00DA0F93">
        <w:rPr>
          <w:rFonts w:ascii="Times New Roman" w:eastAsia="Times New Roman" w:hAnsi="Times New Roman" w:cs="Times New Roman"/>
          <w:sz w:val="24"/>
          <w:szCs w:val="24"/>
        </w:rPr>
        <w:t>качество составления ГРБС прогнозов отдельных кассовых выплат по расходам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4018D0" w:rsidRPr="00DA0F93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>- и</w:t>
      </w:r>
      <w:r w:rsidR="004018D0" w:rsidRPr="00DA0F93">
        <w:rPr>
          <w:rFonts w:ascii="Times New Roman" w:eastAsia="Times New Roman" w:hAnsi="Times New Roman" w:cs="Times New Roman"/>
          <w:sz w:val="24"/>
          <w:szCs w:val="24"/>
        </w:rPr>
        <w:t>зменение доли бюджетных ассигнований на реализацию муниципальных программ города Югорска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234B04" w:rsidRPr="00DA0F93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>- показатели осуществления управленческого и аналитического учета;</w:t>
      </w:r>
    </w:p>
    <w:p w:rsidR="004018D0" w:rsidRPr="00DA0F93" w:rsidRDefault="00234B04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>- д</w:t>
      </w:r>
      <w:r w:rsidR="004018D0" w:rsidRPr="00DA0F93">
        <w:rPr>
          <w:rFonts w:ascii="Times New Roman" w:eastAsia="Times New Roman" w:hAnsi="Times New Roman" w:cs="Times New Roman"/>
          <w:sz w:val="24"/>
          <w:szCs w:val="24"/>
        </w:rPr>
        <w:t>инамика объема доходов муниципальных бюджетных и автономных учреждений, подведомственных ГРБС, от приносящей доход деятельности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 (в том числе от оказания платных услуг).</w:t>
      </w:r>
    </w:p>
    <w:p w:rsidR="00D8189C" w:rsidRPr="00DA0F93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Также оценивалось качество и своевременность предоставления </w:t>
      </w:r>
      <w:r w:rsidR="00661DE2" w:rsidRPr="00DA0F93">
        <w:rPr>
          <w:rFonts w:ascii="Times New Roman" w:eastAsia="Times New Roman" w:hAnsi="Times New Roman" w:cs="Times New Roman"/>
          <w:sz w:val="24"/>
          <w:szCs w:val="24"/>
        </w:rPr>
        <w:t>документов и материалов, необходимых для составления проекта бюджета города,</w:t>
      </w:r>
      <w:r w:rsidR="00661DE2" w:rsidRPr="00DA0F93">
        <w:rPr>
          <w:rFonts w:ascii="Times New Roman" w:hAnsi="Times New Roman" w:cs="Times New Roman"/>
          <w:sz w:val="24"/>
          <w:szCs w:val="24"/>
        </w:rPr>
        <w:t xml:space="preserve"> </w:t>
      </w:r>
      <w:r w:rsidR="00661DE2" w:rsidRPr="00DA0F93">
        <w:rPr>
          <w:rFonts w:ascii="Times New Roman" w:eastAsia="Times New Roman" w:hAnsi="Times New Roman" w:cs="Times New Roman"/>
          <w:sz w:val="24"/>
          <w:szCs w:val="24"/>
        </w:rPr>
        <w:t xml:space="preserve">обоснований бюджетных ассигнований, 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>бюджетной отчетности и аналитической информации</w:t>
      </w:r>
      <w:r w:rsidR="00661DE2" w:rsidRPr="00DA0F93">
        <w:rPr>
          <w:rFonts w:ascii="Times New Roman" w:eastAsia="Times New Roman" w:hAnsi="Times New Roman" w:cs="Times New Roman"/>
          <w:sz w:val="24"/>
          <w:szCs w:val="24"/>
        </w:rPr>
        <w:t>,</w:t>
      </w:r>
      <w:r w:rsidR="00661DE2" w:rsidRPr="00DA0F93">
        <w:rPr>
          <w:rFonts w:ascii="Times New Roman" w:hAnsi="Times New Roman" w:cs="Times New Roman"/>
          <w:sz w:val="24"/>
          <w:szCs w:val="24"/>
        </w:rPr>
        <w:t xml:space="preserve"> </w:t>
      </w:r>
      <w:r w:rsidR="00661DE2" w:rsidRPr="00DA0F93">
        <w:rPr>
          <w:rFonts w:ascii="Times New Roman" w:eastAsia="Times New Roman" w:hAnsi="Times New Roman" w:cs="Times New Roman"/>
          <w:sz w:val="24"/>
          <w:szCs w:val="24"/>
        </w:rPr>
        <w:t>информации, необходимой для разработки прогноза и итогов социально-экономического развития города, проектов муниципальных программ города Югорска, фрагментов реестров расходных обязательств, проектов постановлений администрации города Югорска о внесении изменений в утвержденные муниципальные программы города Югорска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661DE2" w:rsidRPr="00DA0F93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0F93">
        <w:rPr>
          <w:rFonts w:ascii="Times New Roman" w:eastAsia="Times New Roman" w:hAnsi="Times New Roman" w:cs="Times New Roman"/>
          <w:sz w:val="24"/>
          <w:szCs w:val="24"/>
        </w:rPr>
        <w:t>Оценка качества финансового менеджмента за 201</w:t>
      </w:r>
      <w:r w:rsidR="00C6086A" w:rsidRPr="00DA0F93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 год проводилась по </w:t>
      </w:r>
      <w:r w:rsidR="00DD5689" w:rsidRPr="00DA0F93">
        <w:rPr>
          <w:rFonts w:ascii="Times New Roman" w:eastAsia="Times New Roman" w:hAnsi="Times New Roman" w:cs="Times New Roman"/>
          <w:sz w:val="24"/>
          <w:szCs w:val="24"/>
        </w:rPr>
        <w:t>11</w:t>
      </w:r>
      <w:r w:rsidRPr="00DA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61DE2" w:rsidRPr="00DA0F93">
        <w:rPr>
          <w:rFonts w:ascii="Times New Roman" w:eastAsia="Times New Roman" w:hAnsi="Times New Roman" w:cs="Times New Roman"/>
          <w:sz w:val="24"/>
          <w:szCs w:val="24"/>
        </w:rPr>
        <w:t>ГАБС</w:t>
      </w:r>
      <w:r w:rsidR="00DD5689" w:rsidRPr="00DA0F93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068A4" w:rsidRPr="00DA0F93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F93">
        <w:rPr>
          <w:rFonts w:ascii="Times New Roman" w:hAnsi="Times New Roman" w:cs="Times New Roman"/>
          <w:sz w:val="24"/>
          <w:szCs w:val="24"/>
        </w:rPr>
        <w:t>- органы местного самоуправления, органы администрации города Югорска, определенные решением Думы города Югорска о бюджете на соответствующий финансовый год в составе ведомственной структуры расходов бюджета</w:t>
      </w:r>
      <w:r w:rsidR="00DD5689" w:rsidRPr="00DA0F93">
        <w:rPr>
          <w:rFonts w:ascii="Times New Roman" w:hAnsi="Times New Roman" w:cs="Times New Roman"/>
          <w:sz w:val="24"/>
          <w:szCs w:val="24"/>
        </w:rPr>
        <w:t xml:space="preserve"> (Дума города Югорска, Администрация города Югорска, Департамент финансов администрации города Югорска, Департамент жилищно-коммунального и строительного комплекса администрации города Югорска, Управление образования администрации города Югорска, Управление культуры администрации города Югорска, Управление социальной политики администрации города Югорска,  Департамент</w:t>
      </w:r>
      <w:proofErr w:type="gramEnd"/>
      <w:r w:rsidR="00DD5689" w:rsidRPr="00DA0F93">
        <w:rPr>
          <w:rFonts w:ascii="Times New Roman" w:hAnsi="Times New Roman" w:cs="Times New Roman"/>
          <w:sz w:val="24"/>
          <w:szCs w:val="24"/>
        </w:rPr>
        <w:t xml:space="preserve"> муниципальной собственности и градостроительст</w:t>
      </w:r>
      <w:r w:rsidR="00E068A4" w:rsidRPr="00DA0F93">
        <w:rPr>
          <w:rFonts w:ascii="Times New Roman" w:hAnsi="Times New Roman" w:cs="Times New Roman"/>
          <w:sz w:val="24"/>
          <w:szCs w:val="24"/>
        </w:rPr>
        <w:t>ва администрации города Югорска, (далее по тексту и в таблицах - Департамент финансов, Департамент жилищно-коммунального и строительного комплекса, Управление образования, Управление культуры, Управление социальной политики,  Департамент муниципальной собственности и градостроительства);</w:t>
      </w:r>
    </w:p>
    <w:p w:rsidR="00661DE2" w:rsidRPr="00DA0F93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F93">
        <w:rPr>
          <w:rFonts w:ascii="Times New Roman" w:hAnsi="Times New Roman" w:cs="Times New Roman"/>
          <w:sz w:val="24"/>
          <w:szCs w:val="24"/>
        </w:rPr>
        <w:lastRenderedPageBreak/>
        <w:t>- структурные подразделения администрации города Югорска, осуществляющие функции и полномочия главных распорядителей средств бюджета города Югорска в отношении отдельных муниципальных учреждений</w:t>
      </w:r>
      <w:r w:rsidR="00DD5689" w:rsidRPr="00DA0F93">
        <w:rPr>
          <w:rFonts w:ascii="Times New Roman" w:hAnsi="Times New Roman" w:cs="Times New Roman"/>
          <w:sz w:val="24"/>
          <w:szCs w:val="24"/>
        </w:rPr>
        <w:t xml:space="preserve"> (Управление экономической политики администрации города Югорска (далее по тексту и в таблицах - Управление экономичес</w:t>
      </w:r>
      <w:r w:rsidR="001525E9" w:rsidRPr="00DA0F93">
        <w:rPr>
          <w:rFonts w:ascii="Times New Roman" w:hAnsi="Times New Roman" w:cs="Times New Roman"/>
          <w:sz w:val="24"/>
          <w:szCs w:val="24"/>
        </w:rPr>
        <w:t>кой политики (в отношении МАУ «</w:t>
      </w:r>
      <w:r w:rsidR="00DD5689" w:rsidRPr="00DA0F9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</w:t>
      </w:r>
      <w:r w:rsidR="001525E9" w:rsidRPr="00DA0F93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DD5689" w:rsidRPr="00DA0F93">
        <w:rPr>
          <w:rFonts w:ascii="Times New Roman" w:hAnsi="Times New Roman" w:cs="Times New Roman"/>
          <w:sz w:val="24"/>
          <w:szCs w:val="24"/>
        </w:rPr>
        <w:t>)</w:t>
      </w:r>
      <w:r w:rsidRPr="00DA0F93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661DE2" w:rsidRPr="00DA0F93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F93">
        <w:rPr>
          <w:rFonts w:ascii="Times New Roman" w:hAnsi="Times New Roman" w:cs="Times New Roman"/>
          <w:sz w:val="24"/>
          <w:szCs w:val="24"/>
        </w:rPr>
        <w:t xml:space="preserve">- отдельные муниципальные казенные учреждения (МКУ «Централизованная бухгалтерия», МКУ «Служба обеспечения органов местного самоуправления»).       </w:t>
      </w:r>
    </w:p>
    <w:p w:rsidR="00661DE2" w:rsidRPr="00DA0F93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sub_2752"/>
      <w:r w:rsidRPr="00DA0F93">
        <w:rPr>
          <w:rFonts w:ascii="Times New Roman" w:hAnsi="Times New Roman" w:cs="Times New Roman"/>
          <w:sz w:val="24"/>
          <w:szCs w:val="24"/>
        </w:rPr>
        <w:t>Рейтинг ГАБС сформирован раздельно:</w:t>
      </w:r>
    </w:p>
    <w:bookmarkEnd w:id="0"/>
    <w:p w:rsidR="00661DE2" w:rsidRPr="00DA0F93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A0F93">
        <w:rPr>
          <w:rFonts w:ascii="Times New Roman" w:hAnsi="Times New Roman" w:cs="Times New Roman"/>
          <w:sz w:val="24"/>
          <w:szCs w:val="24"/>
        </w:rPr>
        <w:t xml:space="preserve">- по ГАБС, не </w:t>
      </w:r>
      <w:proofErr w:type="gramStart"/>
      <w:r w:rsidRPr="00DA0F93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Pr="00DA0F93">
        <w:rPr>
          <w:rFonts w:ascii="Times New Roman" w:hAnsi="Times New Roman" w:cs="Times New Roman"/>
          <w:sz w:val="24"/>
          <w:szCs w:val="24"/>
        </w:rPr>
        <w:t xml:space="preserve"> подведомственную сеть учреждений (Дума города Югорска, Администрация города Югорска, </w:t>
      </w:r>
      <w:r w:rsidR="007D4EB7" w:rsidRPr="00DA0F93">
        <w:rPr>
          <w:rFonts w:ascii="Times New Roman" w:hAnsi="Times New Roman" w:cs="Times New Roman"/>
          <w:sz w:val="24"/>
          <w:szCs w:val="24"/>
        </w:rPr>
        <w:t>МКУ «</w:t>
      </w:r>
      <w:r w:rsidR="00DD5689" w:rsidRPr="00DA0F93">
        <w:rPr>
          <w:rFonts w:ascii="Times New Roman" w:hAnsi="Times New Roman" w:cs="Times New Roman"/>
          <w:sz w:val="24"/>
          <w:szCs w:val="24"/>
        </w:rPr>
        <w:t>Централизованная бухгалтерия</w:t>
      </w:r>
      <w:r w:rsidR="007D4EB7" w:rsidRPr="00DA0F93">
        <w:rPr>
          <w:rFonts w:ascii="Times New Roman" w:hAnsi="Times New Roman" w:cs="Times New Roman"/>
          <w:sz w:val="24"/>
          <w:szCs w:val="24"/>
        </w:rPr>
        <w:t>», МКУ «</w:t>
      </w:r>
      <w:r w:rsidR="00DD5689" w:rsidRPr="00DA0F93">
        <w:rPr>
          <w:rFonts w:ascii="Times New Roman" w:hAnsi="Times New Roman" w:cs="Times New Roman"/>
          <w:sz w:val="24"/>
          <w:szCs w:val="24"/>
        </w:rPr>
        <w:t xml:space="preserve">Служба обеспечения </w:t>
      </w:r>
      <w:r w:rsidR="007D4EB7" w:rsidRPr="00DA0F93">
        <w:rPr>
          <w:rFonts w:ascii="Times New Roman" w:hAnsi="Times New Roman" w:cs="Times New Roman"/>
          <w:sz w:val="24"/>
          <w:szCs w:val="24"/>
        </w:rPr>
        <w:t>органов местного самоуправления»</w:t>
      </w:r>
      <w:r w:rsidR="00DD5689" w:rsidRPr="00DA0F93">
        <w:rPr>
          <w:rFonts w:ascii="Times New Roman" w:hAnsi="Times New Roman" w:cs="Times New Roman"/>
          <w:sz w:val="24"/>
          <w:szCs w:val="24"/>
        </w:rPr>
        <w:t>, Департамент финансов, Департамент жилищно-коммунального и строительного комплекса)</w:t>
      </w:r>
      <w:r w:rsidRPr="00DA0F93">
        <w:rPr>
          <w:rFonts w:ascii="Times New Roman" w:hAnsi="Times New Roman" w:cs="Times New Roman"/>
          <w:sz w:val="24"/>
          <w:szCs w:val="24"/>
        </w:rPr>
        <w:t>;</w:t>
      </w:r>
    </w:p>
    <w:p w:rsidR="00661DE2" w:rsidRPr="00DA0F93" w:rsidRDefault="00661DE2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A0F93">
        <w:rPr>
          <w:rFonts w:ascii="Times New Roman" w:hAnsi="Times New Roman" w:cs="Times New Roman"/>
          <w:sz w:val="24"/>
          <w:szCs w:val="24"/>
        </w:rPr>
        <w:t>- по ГАБС, имеющим в подведомственности муниципальные бюджетные, автономные  и казенные учреждения</w:t>
      </w:r>
      <w:r w:rsidR="00DD5689" w:rsidRPr="00DA0F93">
        <w:rPr>
          <w:rFonts w:ascii="Times New Roman" w:hAnsi="Times New Roman" w:cs="Times New Roman"/>
          <w:sz w:val="24"/>
          <w:szCs w:val="24"/>
        </w:rPr>
        <w:t xml:space="preserve"> (Управление образования, Управление культуры, Управление социальной политики,  Департамент муниципальной собственности и градостроительства, Управление экономиче</w:t>
      </w:r>
      <w:r w:rsidR="001525E9" w:rsidRPr="00DA0F93">
        <w:rPr>
          <w:rFonts w:ascii="Times New Roman" w:hAnsi="Times New Roman" w:cs="Times New Roman"/>
          <w:sz w:val="24"/>
          <w:szCs w:val="24"/>
        </w:rPr>
        <w:t>ской политики (в отношении МАУ «</w:t>
      </w:r>
      <w:r w:rsidR="00DD5689" w:rsidRPr="00DA0F93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1525E9" w:rsidRPr="00DA0F93">
        <w:rPr>
          <w:rFonts w:ascii="Times New Roman" w:hAnsi="Times New Roman" w:cs="Times New Roman"/>
          <w:sz w:val="24"/>
          <w:szCs w:val="24"/>
        </w:rPr>
        <w:t>»</w:t>
      </w:r>
      <w:r w:rsidR="00DD5689" w:rsidRPr="00DA0F93">
        <w:rPr>
          <w:rFonts w:ascii="Times New Roman" w:hAnsi="Times New Roman" w:cs="Times New Roman"/>
          <w:sz w:val="24"/>
          <w:szCs w:val="24"/>
        </w:rPr>
        <w:t>)</w:t>
      </w:r>
      <w:r w:rsidRPr="00DA0F9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8189C" w:rsidRPr="00D96E7B" w:rsidRDefault="00D8189C" w:rsidP="00DD57A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6E7B">
        <w:rPr>
          <w:rFonts w:ascii="Times New Roman" w:eastAsia="Times New Roman" w:hAnsi="Times New Roman" w:cs="Times New Roman"/>
          <w:sz w:val="24"/>
          <w:szCs w:val="24"/>
        </w:rPr>
        <w:t>По результатам Мониторинга определена итоговая балльная оценка качества финансового менеджмента каждого главного администратора бюджетных средств</w:t>
      </w:r>
      <w:r w:rsidR="003452C9" w:rsidRPr="00D96E7B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="003452C9" w:rsidRPr="00D96E7B">
        <w:rPr>
          <w:rFonts w:ascii="Times New Roman" w:eastAsia="Times New Roman" w:hAnsi="Times New Roman" w:cs="Times New Roman"/>
          <w:sz w:val="24"/>
          <w:szCs w:val="24"/>
          <w:lang w:val="en-US"/>
        </w:rPr>
        <w:t>Gn</w:t>
      </w:r>
      <w:proofErr w:type="spellEnd"/>
      <w:r w:rsidR="003452C9" w:rsidRPr="00D96E7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D96E7B">
        <w:rPr>
          <w:rFonts w:ascii="Times New Roman" w:eastAsia="Times New Roman" w:hAnsi="Times New Roman" w:cs="Times New Roman"/>
          <w:sz w:val="24"/>
          <w:szCs w:val="24"/>
        </w:rPr>
        <w:t xml:space="preserve">, сформирован их рейтинг, а также рассчитана средняя итоговая </w:t>
      </w:r>
      <w:r w:rsidR="003452C9" w:rsidRPr="00D96E7B">
        <w:rPr>
          <w:rFonts w:ascii="Times New Roman" w:eastAsia="Times New Roman" w:hAnsi="Times New Roman" w:cs="Times New Roman"/>
          <w:sz w:val="24"/>
          <w:szCs w:val="24"/>
        </w:rPr>
        <w:t xml:space="preserve">балльная </w:t>
      </w:r>
      <w:r w:rsidRPr="00D96E7B">
        <w:rPr>
          <w:rFonts w:ascii="Times New Roman" w:eastAsia="Times New Roman" w:hAnsi="Times New Roman" w:cs="Times New Roman"/>
          <w:sz w:val="24"/>
          <w:szCs w:val="24"/>
        </w:rPr>
        <w:t>оценка качества финансового менеджмента.</w:t>
      </w:r>
    </w:p>
    <w:p w:rsidR="00D8189C" w:rsidRPr="00D96E7B" w:rsidRDefault="00D8189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E7B">
        <w:rPr>
          <w:rFonts w:ascii="Times New Roman" w:hAnsi="Times New Roman" w:cs="Times New Roman"/>
          <w:sz w:val="24"/>
          <w:szCs w:val="24"/>
        </w:rPr>
        <w:t>Наибольший средний балл наблюдается по группе показателей «</w:t>
      </w:r>
      <w:r w:rsidR="00D15667" w:rsidRPr="00D96E7B">
        <w:rPr>
          <w:rFonts w:ascii="Times New Roman" w:hAnsi="Times New Roman" w:cs="Times New Roman"/>
          <w:sz w:val="24"/>
          <w:szCs w:val="24"/>
        </w:rPr>
        <w:t>Оценка исполнения судебных актов</w:t>
      </w:r>
      <w:r w:rsidRPr="00D96E7B">
        <w:rPr>
          <w:rFonts w:ascii="Times New Roman" w:hAnsi="Times New Roman" w:cs="Times New Roman"/>
          <w:sz w:val="24"/>
          <w:szCs w:val="24"/>
        </w:rPr>
        <w:t>» – 100,0 баллов. Наименьший средний балл сложился по группе показателей «</w:t>
      </w:r>
      <w:r w:rsidR="00D15667" w:rsidRPr="00D96E7B">
        <w:rPr>
          <w:rFonts w:ascii="Times New Roman" w:hAnsi="Times New Roman" w:cs="Times New Roman"/>
          <w:sz w:val="24"/>
          <w:szCs w:val="24"/>
        </w:rPr>
        <w:t>Оценка качества планирования расходов бюджета</w:t>
      </w:r>
      <w:r w:rsidRPr="00D96E7B">
        <w:rPr>
          <w:rFonts w:ascii="Times New Roman" w:hAnsi="Times New Roman" w:cs="Times New Roman"/>
          <w:sz w:val="24"/>
          <w:szCs w:val="24"/>
        </w:rPr>
        <w:t xml:space="preserve">» – </w:t>
      </w:r>
      <w:r w:rsidR="00D96E7B" w:rsidRPr="00D96E7B">
        <w:rPr>
          <w:rFonts w:ascii="Times New Roman" w:hAnsi="Times New Roman" w:cs="Times New Roman"/>
          <w:sz w:val="24"/>
          <w:szCs w:val="24"/>
        </w:rPr>
        <w:t>74</w:t>
      </w:r>
      <w:r w:rsidR="00D15667" w:rsidRPr="00D96E7B">
        <w:rPr>
          <w:rFonts w:ascii="Times New Roman" w:hAnsi="Times New Roman" w:cs="Times New Roman"/>
          <w:sz w:val="24"/>
          <w:szCs w:val="24"/>
        </w:rPr>
        <w:t>,2</w:t>
      </w:r>
      <w:r w:rsidRPr="00D96E7B">
        <w:rPr>
          <w:rFonts w:ascii="Times New Roman" w:hAnsi="Times New Roman" w:cs="Times New Roman"/>
          <w:sz w:val="24"/>
          <w:szCs w:val="24"/>
        </w:rPr>
        <w:t xml:space="preserve"> балла. </w:t>
      </w:r>
    </w:p>
    <w:p w:rsidR="00D8189C" w:rsidRPr="00D96E7B" w:rsidRDefault="00D8189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E7B">
        <w:rPr>
          <w:rFonts w:ascii="Times New Roman" w:hAnsi="Times New Roman" w:cs="Times New Roman"/>
          <w:sz w:val="24"/>
          <w:szCs w:val="24"/>
        </w:rPr>
        <w:t xml:space="preserve">Средние </w:t>
      </w:r>
      <w:r w:rsidR="00D15667" w:rsidRPr="00D96E7B">
        <w:rPr>
          <w:rFonts w:ascii="Times New Roman" w:hAnsi="Times New Roman" w:cs="Times New Roman"/>
          <w:sz w:val="24"/>
          <w:szCs w:val="24"/>
        </w:rPr>
        <w:t xml:space="preserve">итоговые балльные </w:t>
      </w:r>
      <w:r w:rsidRPr="00D96E7B">
        <w:rPr>
          <w:rFonts w:ascii="Times New Roman" w:hAnsi="Times New Roman" w:cs="Times New Roman"/>
          <w:sz w:val="24"/>
          <w:szCs w:val="24"/>
        </w:rPr>
        <w:t xml:space="preserve">оценки качества финансового менеджмента </w:t>
      </w:r>
      <w:r w:rsidR="00D15667" w:rsidRPr="00D96E7B">
        <w:rPr>
          <w:rFonts w:ascii="Times New Roman" w:hAnsi="Times New Roman" w:cs="Times New Roman"/>
          <w:sz w:val="24"/>
          <w:szCs w:val="24"/>
        </w:rPr>
        <w:t>(</w:t>
      </w:r>
      <w:r w:rsidR="00D15667" w:rsidRPr="00D96E7B">
        <w:rPr>
          <w:rFonts w:ascii="Times New Roman" w:hAnsi="Times New Roman" w:cs="Times New Roman"/>
          <w:sz w:val="24"/>
          <w:szCs w:val="24"/>
          <w:lang w:val="en-US"/>
        </w:rPr>
        <w:t>MR</w:t>
      </w:r>
      <w:r w:rsidR="00D15667" w:rsidRPr="00D96E7B">
        <w:rPr>
          <w:rFonts w:ascii="Times New Roman" w:hAnsi="Times New Roman" w:cs="Times New Roman"/>
          <w:sz w:val="24"/>
          <w:szCs w:val="24"/>
        </w:rPr>
        <w:t xml:space="preserve">) </w:t>
      </w:r>
      <w:r w:rsidRPr="00D96E7B">
        <w:rPr>
          <w:rFonts w:ascii="Times New Roman" w:hAnsi="Times New Roman" w:cs="Times New Roman"/>
          <w:sz w:val="24"/>
          <w:szCs w:val="24"/>
        </w:rPr>
        <w:t>за 201</w:t>
      </w:r>
      <w:r w:rsidR="00D74BBC" w:rsidRPr="00D96E7B">
        <w:rPr>
          <w:rFonts w:ascii="Times New Roman" w:hAnsi="Times New Roman" w:cs="Times New Roman"/>
          <w:sz w:val="24"/>
          <w:szCs w:val="24"/>
        </w:rPr>
        <w:t>6</w:t>
      </w:r>
      <w:r w:rsidRPr="00D96E7B">
        <w:rPr>
          <w:rFonts w:ascii="Times New Roman" w:hAnsi="Times New Roman" w:cs="Times New Roman"/>
          <w:sz w:val="24"/>
          <w:szCs w:val="24"/>
        </w:rPr>
        <w:t xml:space="preserve"> год в разрезе групп показателей приведены далее.</w:t>
      </w:r>
    </w:p>
    <w:p w:rsidR="00DD57AF" w:rsidRPr="009A1A75" w:rsidRDefault="00DD57AF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Pr="009A1A75" w:rsidRDefault="00D8189C" w:rsidP="00D8189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A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532473" cy="3496666"/>
            <wp:effectExtent l="0" t="0" r="1677" b="0"/>
            <wp:docPr id="9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DD3D3D" w:rsidRPr="00D96E7B" w:rsidRDefault="00DD3D3D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E7B">
        <w:rPr>
          <w:rFonts w:ascii="Times New Roman" w:hAnsi="Times New Roman" w:cs="Times New Roman"/>
          <w:sz w:val="24"/>
          <w:szCs w:val="24"/>
        </w:rPr>
        <w:t xml:space="preserve">Итоговые значения показателей и оценки показателей в баллах в разрезе ГАБС, значения и динамика </w:t>
      </w:r>
      <w:r w:rsidR="00E167E3" w:rsidRPr="00D96E7B">
        <w:rPr>
          <w:rFonts w:ascii="Times New Roman" w:hAnsi="Times New Roman" w:cs="Times New Roman"/>
          <w:sz w:val="24"/>
          <w:szCs w:val="24"/>
        </w:rPr>
        <w:t xml:space="preserve">итоговой балльной оценки качества финансового менеджмента в разрезе ГАБС, </w:t>
      </w:r>
      <w:r w:rsidRPr="00D96E7B">
        <w:rPr>
          <w:rFonts w:ascii="Times New Roman" w:hAnsi="Times New Roman" w:cs="Times New Roman"/>
          <w:sz w:val="24"/>
          <w:szCs w:val="24"/>
        </w:rPr>
        <w:t xml:space="preserve">а также рейтинг </w:t>
      </w:r>
      <w:r w:rsidR="0036379B" w:rsidRPr="00D96E7B">
        <w:rPr>
          <w:rFonts w:ascii="Times New Roman" w:hAnsi="Times New Roman" w:cs="Times New Roman"/>
          <w:sz w:val="24"/>
          <w:szCs w:val="24"/>
        </w:rPr>
        <w:t>ГАБС</w:t>
      </w:r>
      <w:r w:rsidRPr="00D96E7B">
        <w:rPr>
          <w:rFonts w:ascii="Times New Roman" w:hAnsi="Times New Roman" w:cs="Times New Roman"/>
          <w:sz w:val="24"/>
          <w:szCs w:val="24"/>
        </w:rPr>
        <w:t xml:space="preserve"> представлены в приложениях 1, 2</w:t>
      </w:r>
      <w:r w:rsidR="00E167E3" w:rsidRPr="00D96E7B">
        <w:rPr>
          <w:rFonts w:ascii="Times New Roman" w:hAnsi="Times New Roman" w:cs="Times New Roman"/>
          <w:sz w:val="24"/>
          <w:szCs w:val="24"/>
        </w:rPr>
        <w:t>, 3</w:t>
      </w:r>
      <w:r w:rsidR="002753DD" w:rsidRPr="00D96E7B">
        <w:rPr>
          <w:rFonts w:ascii="Times New Roman" w:hAnsi="Times New Roman" w:cs="Times New Roman"/>
          <w:sz w:val="24"/>
          <w:szCs w:val="24"/>
        </w:rPr>
        <w:t>,4,5</w:t>
      </w:r>
      <w:r w:rsidRPr="00D96E7B">
        <w:rPr>
          <w:rFonts w:ascii="Times New Roman" w:hAnsi="Times New Roman" w:cs="Times New Roman"/>
          <w:sz w:val="24"/>
          <w:szCs w:val="24"/>
        </w:rPr>
        <w:t xml:space="preserve"> к результатам Мониторинга за 201</w:t>
      </w:r>
      <w:r w:rsidR="00874DBE" w:rsidRPr="00D96E7B">
        <w:rPr>
          <w:rFonts w:ascii="Times New Roman" w:hAnsi="Times New Roman" w:cs="Times New Roman"/>
          <w:sz w:val="24"/>
          <w:szCs w:val="24"/>
        </w:rPr>
        <w:t>6</w:t>
      </w:r>
      <w:r w:rsidRPr="00D96E7B">
        <w:rPr>
          <w:rFonts w:ascii="Times New Roman" w:hAnsi="Times New Roman" w:cs="Times New Roman"/>
          <w:sz w:val="24"/>
          <w:szCs w:val="24"/>
        </w:rPr>
        <w:t xml:space="preserve"> год.</w:t>
      </w:r>
    </w:p>
    <w:p w:rsidR="00425BF9" w:rsidRPr="00D96E7B" w:rsidRDefault="00425BF9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E7B">
        <w:rPr>
          <w:rFonts w:ascii="Times New Roman" w:hAnsi="Times New Roman" w:cs="Times New Roman"/>
          <w:sz w:val="24"/>
          <w:szCs w:val="24"/>
        </w:rPr>
        <w:t>Средняя итоговая балльная оценка качества финансового менеджмента за 201</w:t>
      </w:r>
      <w:r w:rsidR="00CF38BF" w:rsidRPr="00D96E7B">
        <w:rPr>
          <w:rFonts w:ascii="Times New Roman" w:hAnsi="Times New Roman" w:cs="Times New Roman"/>
          <w:sz w:val="24"/>
          <w:szCs w:val="24"/>
        </w:rPr>
        <w:t>6</w:t>
      </w:r>
      <w:r w:rsidRPr="00D96E7B">
        <w:rPr>
          <w:rFonts w:ascii="Times New Roman" w:hAnsi="Times New Roman" w:cs="Times New Roman"/>
          <w:sz w:val="24"/>
          <w:szCs w:val="24"/>
        </w:rPr>
        <w:t xml:space="preserve"> год составила </w:t>
      </w:r>
      <w:r w:rsidR="00D96E7B" w:rsidRPr="00D96E7B">
        <w:rPr>
          <w:rFonts w:ascii="Times New Roman" w:hAnsi="Times New Roman" w:cs="Times New Roman"/>
          <w:sz w:val="24"/>
          <w:szCs w:val="24"/>
        </w:rPr>
        <w:t>83,6</w:t>
      </w:r>
      <w:r w:rsidRPr="00D96E7B">
        <w:rPr>
          <w:rFonts w:ascii="Times New Roman" w:hAnsi="Times New Roman" w:cs="Times New Roman"/>
          <w:sz w:val="24"/>
          <w:szCs w:val="24"/>
        </w:rPr>
        <w:t xml:space="preserve">, что </w:t>
      </w:r>
      <w:r w:rsidR="00260D4A">
        <w:rPr>
          <w:rFonts w:ascii="Times New Roman" w:hAnsi="Times New Roman" w:cs="Times New Roman"/>
          <w:sz w:val="24"/>
          <w:szCs w:val="24"/>
        </w:rPr>
        <w:t>ниже</w:t>
      </w:r>
      <w:r w:rsidRPr="00D96E7B">
        <w:rPr>
          <w:rFonts w:ascii="Times New Roman" w:hAnsi="Times New Roman" w:cs="Times New Roman"/>
          <w:sz w:val="24"/>
          <w:szCs w:val="24"/>
        </w:rPr>
        <w:t xml:space="preserve"> уровн</w:t>
      </w:r>
      <w:r w:rsidR="00260D4A">
        <w:rPr>
          <w:rFonts w:ascii="Times New Roman" w:hAnsi="Times New Roman" w:cs="Times New Roman"/>
          <w:sz w:val="24"/>
          <w:szCs w:val="24"/>
        </w:rPr>
        <w:t>я</w:t>
      </w:r>
      <w:r w:rsidRPr="00D96E7B">
        <w:rPr>
          <w:rFonts w:ascii="Times New Roman" w:hAnsi="Times New Roman" w:cs="Times New Roman"/>
          <w:sz w:val="24"/>
          <w:szCs w:val="24"/>
        </w:rPr>
        <w:t xml:space="preserve"> 201</w:t>
      </w:r>
      <w:r w:rsidR="00CF38BF" w:rsidRPr="00D96E7B">
        <w:rPr>
          <w:rFonts w:ascii="Times New Roman" w:hAnsi="Times New Roman" w:cs="Times New Roman"/>
          <w:sz w:val="24"/>
          <w:szCs w:val="24"/>
        </w:rPr>
        <w:t>5</w:t>
      </w:r>
      <w:r w:rsidRPr="00D96E7B">
        <w:rPr>
          <w:rFonts w:ascii="Times New Roman" w:hAnsi="Times New Roman" w:cs="Times New Roman"/>
          <w:sz w:val="24"/>
          <w:szCs w:val="24"/>
        </w:rPr>
        <w:t xml:space="preserve"> год</w:t>
      </w:r>
      <w:r w:rsidR="00D96E7B" w:rsidRPr="00D96E7B">
        <w:rPr>
          <w:rFonts w:ascii="Times New Roman" w:hAnsi="Times New Roman" w:cs="Times New Roman"/>
          <w:sz w:val="24"/>
          <w:szCs w:val="24"/>
        </w:rPr>
        <w:t>а</w:t>
      </w:r>
      <w:r w:rsidR="00260D4A">
        <w:rPr>
          <w:rFonts w:ascii="Times New Roman" w:hAnsi="Times New Roman" w:cs="Times New Roman"/>
          <w:sz w:val="24"/>
          <w:szCs w:val="24"/>
        </w:rPr>
        <w:t xml:space="preserve"> на 0,1</w:t>
      </w:r>
      <w:r w:rsidRPr="00D96E7B">
        <w:rPr>
          <w:rFonts w:ascii="Times New Roman" w:hAnsi="Times New Roman" w:cs="Times New Roman"/>
          <w:sz w:val="24"/>
          <w:szCs w:val="24"/>
        </w:rPr>
        <w:t xml:space="preserve"> (в 201</w:t>
      </w:r>
      <w:r w:rsidR="00CF38BF" w:rsidRPr="00D96E7B">
        <w:rPr>
          <w:rFonts w:ascii="Times New Roman" w:hAnsi="Times New Roman" w:cs="Times New Roman"/>
          <w:sz w:val="24"/>
          <w:szCs w:val="24"/>
        </w:rPr>
        <w:t>5</w:t>
      </w:r>
      <w:r w:rsidRPr="00D96E7B">
        <w:rPr>
          <w:rFonts w:ascii="Times New Roman" w:hAnsi="Times New Roman" w:cs="Times New Roman"/>
          <w:sz w:val="24"/>
          <w:szCs w:val="24"/>
        </w:rPr>
        <w:t xml:space="preserve"> году средняя итоговая балльная оценка качества финансового менеджмента составляла </w:t>
      </w:r>
      <w:r w:rsidR="00CF38BF" w:rsidRPr="00D96E7B">
        <w:rPr>
          <w:rFonts w:ascii="Times New Roman" w:hAnsi="Times New Roman" w:cs="Times New Roman"/>
          <w:sz w:val="24"/>
          <w:szCs w:val="24"/>
        </w:rPr>
        <w:t>83,7</w:t>
      </w:r>
      <w:r w:rsidRPr="00D96E7B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425BF9" w:rsidRPr="00D96E7B" w:rsidRDefault="00425BF9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96E7B">
        <w:rPr>
          <w:rFonts w:ascii="Times New Roman" w:hAnsi="Times New Roman" w:cs="Times New Roman"/>
          <w:sz w:val="24"/>
          <w:szCs w:val="24"/>
        </w:rPr>
        <w:t>Отклонение средней итоговой балльной оценки качества финансового менеджмента за 201</w:t>
      </w:r>
      <w:r w:rsidR="00CD510F" w:rsidRPr="00D96E7B">
        <w:rPr>
          <w:rFonts w:ascii="Times New Roman" w:hAnsi="Times New Roman" w:cs="Times New Roman"/>
          <w:sz w:val="24"/>
          <w:szCs w:val="24"/>
        </w:rPr>
        <w:t>6</w:t>
      </w:r>
      <w:r w:rsidRPr="00D96E7B">
        <w:rPr>
          <w:rFonts w:ascii="Times New Roman" w:hAnsi="Times New Roman" w:cs="Times New Roman"/>
          <w:sz w:val="24"/>
          <w:szCs w:val="24"/>
        </w:rPr>
        <w:t xml:space="preserve"> год от максимально возможной (наилучшей) оценки составило 16,</w:t>
      </w:r>
      <w:r w:rsidR="00D96E7B" w:rsidRPr="00D96E7B">
        <w:rPr>
          <w:rFonts w:ascii="Times New Roman" w:hAnsi="Times New Roman" w:cs="Times New Roman"/>
          <w:sz w:val="24"/>
          <w:szCs w:val="24"/>
        </w:rPr>
        <w:t>4</w:t>
      </w:r>
      <w:r w:rsidRPr="00D96E7B">
        <w:rPr>
          <w:rFonts w:ascii="Times New Roman" w:hAnsi="Times New Roman" w:cs="Times New Roman"/>
          <w:sz w:val="24"/>
          <w:szCs w:val="24"/>
        </w:rPr>
        <w:t xml:space="preserve"> балла.</w:t>
      </w:r>
    </w:p>
    <w:p w:rsidR="0096773C" w:rsidRPr="0086125A" w:rsidRDefault="00E167E3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125A">
        <w:rPr>
          <w:rFonts w:ascii="Times New Roman" w:hAnsi="Times New Roman" w:cs="Times New Roman"/>
          <w:sz w:val="24"/>
          <w:szCs w:val="24"/>
        </w:rPr>
        <w:lastRenderedPageBreak/>
        <w:t xml:space="preserve">Из 11 оцениваемых </w:t>
      </w:r>
      <w:r w:rsidR="0036379B" w:rsidRPr="0086125A">
        <w:rPr>
          <w:rFonts w:ascii="Times New Roman" w:hAnsi="Times New Roman" w:cs="Times New Roman"/>
          <w:sz w:val="24"/>
          <w:szCs w:val="24"/>
        </w:rPr>
        <w:t>ГАБС</w:t>
      </w:r>
      <w:r w:rsidRPr="0086125A">
        <w:rPr>
          <w:rFonts w:ascii="Times New Roman" w:hAnsi="Times New Roman" w:cs="Times New Roman"/>
          <w:sz w:val="24"/>
          <w:szCs w:val="24"/>
        </w:rPr>
        <w:t xml:space="preserve"> 2 </w:t>
      </w:r>
      <w:r w:rsidR="0036379B" w:rsidRPr="0086125A">
        <w:rPr>
          <w:rFonts w:ascii="Times New Roman" w:hAnsi="Times New Roman" w:cs="Times New Roman"/>
          <w:sz w:val="24"/>
          <w:szCs w:val="24"/>
        </w:rPr>
        <w:t xml:space="preserve">– Департамент финансов и </w:t>
      </w:r>
      <w:r w:rsidR="00D96E7B" w:rsidRPr="0086125A">
        <w:rPr>
          <w:rFonts w:ascii="Times New Roman" w:hAnsi="Times New Roman" w:cs="Times New Roman"/>
          <w:sz w:val="24"/>
          <w:szCs w:val="24"/>
        </w:rPr>
        <w:t>Управление экономической политики</w:t>
      </w:r>
      <w:r w:rsidR="0086125A" w:rsidRPr="0086125A">
        <w:rPr>
          <w:rFonts w:ascii="Times New Roman" w:hAnsi="Times New Roman" w:cs="Times New Roman"/>
          <w:sz w:val="24"/>
          <w:szCs w:val="24"/>
        </w:rPr>
        <w:t xml:space="preserve"> (в отношении МАУ «Многофункциональный центр предоставления государственных и муниципальных услуг)</w:t>
      </w:r>
      <w:r w:rsidR="0036379B" w:rsidRPr="0086125A">
        <w:rPr>
          <w:rFonts w:ascii="Times New Roman" w:hAnsi="Times New Roman" w:cs="Times New Roman"/>
          <w:sz w:val="24"/>
          <w:szCs w:val="24"/>
        </w:rPr>
        <w:t xml:space="preserve"> </w:t>
      </w:r>
      <w:r w:rsidRPr="0086125A">
        <w:rPr>
          <w:rFonts w:ascii="Times New Roman" w:hAnsi="Times New Roman" w:cs="Times New Roman"/>
          <w:sz w:val="24"/>
          <w:szCs w:val="24"/>
        </w:rPr>
        <w:t>(18,2 % от оцениваемого количества) имеют итоговые балльные оценки качества финансового менеджмента выше 90 баллов и характеристику уровня качества финансового менеджмента «высокий».</w:t>
      </w:r>
      <w:r w:rsidR="0096773C" w:rsidRPr="0086125A">
        <w:rPr>
          <w:rFonts w:ascii="Times New Roman" w:hAnsi="Times New Roman" w:cs="Times New Roman"/>
          <w:sz w:val="24"/>
          <w:szCs w:val="24"/>
        </w:rPr>
        <w:t xml:space="preserve"> Остальные 9 ГАБС имеют характеристику уровня качества финансового менеджмента «средний». ГАБС, имеющие характеристику уровня качества финансового менеджмента «низкий», отсутствуют. </w:t>
      </w:r>
    </w:p>
    <w:p w:rsidR="00E167E3" w:rsidRPr="009A1A75" w:rsidRDefault="0096773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65B0">
        <w:rPr>
          <w:rFonts w:ascii="Times New Roman" w:hAnsi="Times New Roman" w:cs="Times New Roman"/>
          <w:sz w:val="24"/>
          <w:szCs w:val="24"/>
        </w:rPr>
        <w:t>Таким образом, все ГАБС имеют характеристику уровня качества финансового менеджмента «высокий» и «средний».</w:t>
      </w:r>
    </w:p>
    <w:p w:rsidR="0096773C" w:rsidRPr="00707F3E" w:rsidRDefault="0096773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7F3E">
        <w:rPr>
          <w:rFonts w:ascii="Times New Roman" w:hAnsi="Times New Roman" w:cs="Times New Roman"/>
          <w:sz w:val="24"/>
          <w:szCs w:val="24"/>
        </w:rPr>
        <w:t xml:space="preserve">Из 11 оцениваемых главных администраторов бюджетных средств </w:t>
      </w:r>
      <w:r w:rsidR="00707F3E" w:rsidRPr="00707F3E">
        <w:rPr>
          <w:rFonts w:ascii="Times New Roman" w:hAnsi="Times New Roman" w:cs="Times New Roman"/>
          <w:sz w:val="24"/>
          <w:szCs w:val="24"/>
        </w:rPr>
        <w:t>7</w:t>
      </w:r>
      <w:r w:rsidRPr="00707F3E">
        <w:rPr>
          <w:rFonts w:ascii="Times New Roman" w:hAnsi="Times New Roman" w:cs="Times New Roman"/>
          <w:sz w:val="24"/>
          <w:szCs w:val="24"/>
        </w:rPr>
        <w:t xml:space="preserve"> (</w:t>
      </w:r>
      <w:r w:rsidR="00707F3E" w:rsidRPr="00707F3E">
        <w:rPr>
          <w:rFonts w:ascii="Times New Roman" w:hAnsi="Times New Roman" w:cs="Times New Roman"/>
          <w:sz w:val="24"/>
          <w:szCs w:val="24"/>
        </w:rPr>
        <w:t>63,6</w:t>
      </w:r>
      <w:r w:rsidRPr="00707F3E">
        <w:rPr>
          <w:rFonts w:ascii="Times New Roman" w:hAnsi="Times New Roman" w:cs="Times New Roman"/>
          <w:sz w:val="24"/>
          <w:szCs w:val="24"/>
        </w:rPr>
        <w:t xml:space="preserve"> % от оцениваемого количества) имеют итоговые балльные оценки качества финансового менеджмента выше </w:t>
      </w:r>
      <w:r w:rsidR="00E167E3" w:rsidRPr="00707F3E">
        <w:rPr>
          <w:rFonts w:ascii="Times New Roman" w:hAnsi="Times New Roman" w:cs="Times New Roman"/>
          <w:sz w:val="24"/>
          <w:szCs w:val="24"/>
        </w:rPr>
        <w:t>среднего балла</w:t>
      </w:r>
      <w:r w:rsidRPr="00707F3E">
        <w:rPr>
          <w:rFonts w:ascii="Times New Roman" w:hAnsi="Times New Roman" w:cs="Times New Roman"/>
          <w:sz w:val="24"/>
          <w:szCs w:val="24"/>
        </w:rPr>
        <w:t xml:space="preserve"> (Департамент финансов – на </w:t>
      </w:r>
      <w:r w:rsidR="00707F3E" w:rsidRPr="00707F3E">
        <w:rPr>
          <w:rFonts w:ascii="Times New Roman" w:hAnsi="Times New Roman" w:cs="Times New Roman"/>
          <w:sz w:val="24"/>
          <w:szCs w:val="24"/>
        </w:rPr>
        <w:t>13,9</w:t>
      </w:r>
      <w:r w:rsidRPr="00707F3E">
        <w:rPr>
          <w:rFonts w:ascii="Times New Roman" w:hAnsi="Times New Roman" w:cs="Times New Roman"/>
          <w:sz w:val="24"/>
          <w:szCs w:val="24"/>
        </w:rPr>
        <w:t xml:space="preserve"> балла, </w:t>
      </w:r>
      <w:r w:rsidR="00707F3E" w:rsidRPr="00707F3E">
        <w:rPr>
          <w:rFonts w:ascii="Times New Roman" w:hAnsi="Times New Roman" w:cs="Times New Roman"/>
          <w:sz w:val="24"/>
          <w:szCs w:val="24"/>
        </w:rPr>
        <w:t xml:space="preserve">Управление экономической политики (в отношении МАУ «Многофункциональный центр предоставления государственных и муниципальных услуг») – на 7,8 балла, </w:t>
      </w:r>
      <w:r w:rsidRPr="00707F3E">
        <w:rPr>
          <w:rFonts w:ascii="Times New Roman" w:hAnsi="Times New Roman" w:cs="Times New Roman"/>
          <w:sz w:val="24"/>
          <w:szCs w:val="24"/>
        </w:rPr>
        <w:t xml:space="preserve">Администрация города Югорска – на </w:t>
      </w:r>
      <w:r w:rsidR="00707F3E" w:rsidRPr="00707F3E">
        <w:rPr>
          <w:rFonts w:ascii="Times New Roman" w:hAnsi="Times New Roman" w:cs="Times New Roman"/>
          <w:sz w:val="24"/>
          <w:szCs w:val="24"/>
        </w:rPr>
        <w:t>5,2</w:t>
      </w:r>
      <w:r w:rsidRPr="00707F3E">
        <w:rPr>
          <w:rFonts w:ascii="Times New Roman" w:hAnsi="Times New Roman" w:cs="Times New Roman"/>
          <w:sz w:val="24"/>
          <w:szCs w:val="24"/>
        </w:rPr>
        <w:t xml:space="preserve"> балла, Департамент жилищно-коммунального и строительного комплекса – на </w:t>
      </w:r>
      <w:r w:rsidR="00707F3E" w:rsidRPr="00707F3E">
        <w:rPr>
          <w:rFonts w:ascii="Times New Roman" w:hAnsi="Times New Roman" w:cs="Times New Roman"/>
          <w:sz w:val="24"/>
          <w:szCs w:val="24"/>
        </w:rPr>
        <w:t>3,2</w:t>
      </w:r>
      <w:r w:rsidRPr="00707F3E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707F3E" w:rsidRPr="00707F3E">
        <w:rPr>
          <w:rFonts w:ascii="Times New Roman" w:hAnsi="Times New Roman" w:cs="Times New Roman"/>
          <w:sz w:val="24"/>
          <w:szCs w:val="24"/>
        </w:rPr>
        <w:t>, Управление образования на</w:t>
      </w:r>
      <w:proofErr w:type="gramEnd"/>
      <w:r w:rsidR="00707F3E" w:rsidRPr="00707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7F3E" w:rsidRPr="00707F3E">
        <w:rPr>
          <w:rFonts w:ascii="Times New Roman" w:hAnsi="Times New Roman" w:cs="Times New Roman"/>
          <w:sz w:val="24"/>
          <w:szCs w:val="24"/>
        </w:rPr>
        <w:t>2,4 балла, Дума города Югорска на 2,3 балла, Департамент муниципальной собственности и градостроительства на 0,1 балла</w:t>
      </w:r>
      <w:r w:rsidRPr="00707F3E">
        <w:rPr>
          <w:rFonts w:ascii="Times New Roman" w:hAnsi="Times New Roman" w:cs="Times New Roman"/>
          <w:sz w:val="24"/>
          <w:szCs w:val="24"/>
        </w:rPr>
        <w:t>).</w:t>
      </w:r>
      <w:r w:rsidR="00E167E3" w:rsidRPr="00707F3E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E167E3" w:rsidRPr="00707F3E" w:rsidRDefault="0096773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E">
        <w:rPr>
          <w:rFonts w:ascii="Times New Roman" w:hAnsi="Times New Roman" w:cs="Times New Roman"/>
          <w:sz w:val="24"/>
          <w:szCs w:val="24"/>
        </w:rPr>
        <w:t>У</w:t>
      </w:r>
      <w:r w:rsidR="00E167E3" w:rsidRPr="00707F3E">
        <w:rPr>
          <w:rFonts w:ascii="Times New Roman" w:hAnsi="Times New Roman" w:cs="Times New Roman"/>
          <w:sz w:val="24"/>
          <w:szCs w:val="24"/>
        </w:rPr>
        <w:t xml:space="preserve"> </w:t>
      </w:r>
      <w:r w:rsidRPr="00707F3E">
        <w:rPr>
          <w:rFonts w:ascii="Times New Roman" w:hAnsi="Times New Roman" w:cs="Times New Roman"/>
          <w:sz w:val="24"/>
          <w:szCs w:val="24"/>
        </w:rPr>
        <w:t xml:space="preserve">остальных </w:t>
      </w:r>
      <w:r w:rsidR="00707F3E" w:rsidRPr="00707F3E">
        <w:rPr>
          <w:rFonts w:ascii="Times New Roman" w:hAnsi="Times New Roman" w:cs="Times New Roman"/>
          <w:sz w:val="24"/>
          <w:szCs w:val="24"/>
        </w:rPr>
        <w:t>4</w:t>
      </w:r>
      <w:r w:rsidR="00E167E3" w:rsidRPr="00707F3E">
        <w:rPr>
          <w:rFonts w:ascii="Times New Roman" w:hAnsi="Times New Roman" w:cs="Times New Roman"/>
          <w:sz w:val="24"/>
          <w:szCs w:val="24"/>
        </w:rPr>
        <w:t xml:space="preserve"> </w:t>
      </w:r>
      <w:r w:rsidRPr="00707F3E">
        <w:rPr>
          <w:rFonts w:ascii="Times New Roman" w:hAnsi="Times New Roman" w:cs="Times New Roman"/>
          <w:sz w:val="24"/>
          <w:szCs w:val="24"/>
        </w:rPr>
        <w:t>ГАБС</w:t>
      </w:r>
      <w:r w:rsidR="00E167E3" w:rsidRPr="00707F3E">
        <w:rPr>
          <w:rFonts w:ascii="Times New Roman" w:hAnsi="Times New Roman" w:cs="Times New Roman"/>
          <w:sz w:val="24"/>
          <w:szCs w:val="24"/>
        </w:rPr>
        <w:t xml:space="preserve"> итоговые оценки ниже среднего балла</w:t>
      </w:r>
      <w:r w:rsidRPr="00707F3E">
        <w:rPr>
          <w:rFonts w:ascii="Times New Roman" w:hAnsi="Times New Roman" w:cs="Times New Roman"/>
          <w:sz w:val="24"/>
          <w:szCs w:val="24"/>
        </w:rPr>
        <w:t xml:space="preserve"> (</w:t>
      </w:r>
      <w:r w:rsidR="00707F3E" w:rsidRPr="00707F3E">
        <w:rPr>
          <w:rFonts w:ascii="Times New Roman" w:hAnsi="Times New Roman" w:cs="Times New Roman"/>
          <w:sz w:val="24"/>
          <w:szCs w:val="24"/>
        </w:rPr>
        <w:t xml:space="preserve">Управление социальной политики – на 6,5 балла, </w:t>
      </w:r>
      <w:r w:rsidRPr="00707F3E">
        <w:rPr>
          <w:rFonts w:ascii="Times New Roman" w:hAnsi="Times New Roman" w:cs="Times New Roman"/>
          <w:sz w:val="24"/>
          <w:szCs w:val="24"/>
        </w:rPr>
        <w:t xml:space="preserve">Управление культуры – на </w:t>
      </w:r>
      <w:r w:rsidR="00707F3E" w:rsidRPr="00707F3E">
        <w:rPr>
          <w:rFonts w:ascii="Times New Roman" w:hAnsi="Times New Roman" w:cs="Times New Roman"/>
          <w:sz w:val="24"/>
          <w:szCs w:val="24"/>
        </w:rPr>
        <w:t>9</w:t>
      </w:r>
      <w:r w:rsidRPr="00707F3E">
        <w:rPr>
          <w:rFonts w:ascii="Times New Roman" w:hAnsi="Times New Roman" w:cs="Times New Roman"/>
          <w:sz w:val="24"/>
          <w:szCs w:val="24"/>
        </w:rPr>
        <w:t xml:space="preserve"> балл</w:t>
      </w:r>
      <w:r w:rsidR="00707F3E" w:rsidRPr="00707F3E">
        <w:rPr>
          <w:rFonts w:ascii="Times New Roman" w:hAnsi="Times New Roman" w:cs="Times New Roman"/>
          <w:sz w:val="24"/>
          <w:szCs w:val="24"/>
        </w:rPr>
        <w:t>ов</w:t>
      </w:r>
      <w:r w:rsidRPr="00707F3E">
        <w:rPr>
          <w:rFonts w:ascii="Times New Roman" w:hAnsi="Times New Roman" w:cs="Times New Roman"/>
          <w:sz w:val="24"/>
          <w:szCs w:val="24"/>
        </w:rPr>
        <w:t xml:space="preserve">, МКУ </w:t>
      </w:r>
      <w:r w:rsidR="00DA6CEE" w:rsidRPr="00707F3E">
        <w:rPr>
          <w:rFonts w:ascii="Times New Roman" w:hAnsi="Times New Roman" w:cs="Times New Roman"/>
          <w:sz w:val="24"/>
          <w:szCs w:val="24"/>
        </w:rPr>
        <w:t>«</w:t>
      </w:r>
      <w:r w:rsidRPr="00707F3E">
        <w:rPr>
          <w:rFonts w:ascii="Times New Roman" w:hAnsi="Times New Roman" w:cs="Times New Roman"/>
          <w:sz w:val="24"/>
          <w:szCs w:val="24"/>
        </w:rPr>
        <w:t>Служба обеспечения органов местного самоуправления</w:t>
      </w:r>
      <w:r w:rsidR="00DA6CEE" w:rsidRPr="00707F3E">
        <w:rPr>
          <w:rFonts w:ascii="Times New Roman" w:hAnsi="Times New Roman" w:cs="Times New Roman"/>
          <w:sz w:val="24"/>
          <w:szCs w:val="24"/>
        </w:rPr>
        <w:t xml:space="preserve">» – на </w:t>
      </w:r>
      <w:r w:rsidR="00707F3E" w:rsidRPr="00707F3E">
        <w:rPr>
          <w:rFonts w:ascii="Times New Roman" w:hAnsi="Times New Roman" w:cs="Times New Roman"/>
          <w:sz w:val="24"/>
          <w:szCs w:val="24"/>
        </w:rPr>
        <w:t>9,4</w:t>
      </w:r>
      <w:r w:rsidR="00DA6CEE" w:rsidRPr="00707F3E">
        <w:rPr>
          <w:rFonts w:ascii="Times New Roman" w:hAnsi="Times New Roman" w:cs="Times New Roman"/>
          <w:sz w:val="24"/>
          <w:szCs w:val="24"/>
        </w:rPr>
        <w:t xml:space="preserve"> балла, МКУ «Централизованная бухгалтерия»</w:t>
      </w:r>
      <w:r w:rsidRPr="00707F3E">
        <w:rPr>
          <w:rFonts w:ascii="Times New Roman" w:hAnsi="Times New Roman" w:cs="Times New Roman"/>
          <w:sz w:val="24"/>
          <w:szCs w:val="24"/>
        </w:rPr>
        <w:t xml:space="preserve"> – на </w:t>
      </w:r>
      <w:r w:rsidR="00707F3E" w:rsidRPr="00707F3E">
        <w:rPr>
          <w:rFonts w:ascii="Times New Roman" w:hAnsi="Times New Roman" w:cs="Times New Roman"/>
          <w:sz w:val="24"/>
          <w:szCs w:val="24"/>
        </w:rPr>
        <w:t>9,7 балл</w:t>
      </w:r>
      <w:r w:rsidR="00260D4A">
        <w:rPr>
          <w:rFonts w:ascii="Times New Roman" w:hAnsi="Times New Roman" w:cs="Times New Roman"/>
          <w:sz w:val="24"/>
          <w:szCs w:val="24"/>
        </w:rPr>
        <w:t>ов</w:t>
      </w:r>
      <w:r w:rsidRPr="00707F3E">
        <w:rPr>
          <w:rFonts w:ascii="Times New Roman" w:hAnsi="Times New Roman" w:cs="Times New Roman"/>
          <w:sz w:val="24"/>
          <w:szCs w:val="24"/>
        </w:rPr>
        <w:t>)</w:t>
      </w:r>
      <w:r w:rsidR="00E167E3" w:rsidRPr="00707F3E">
        <w:rPr>
          <w:rFonts w:ascii="Times New Roman" w:hAnsi="Times New Roman" w:cs="Times New Roman"/>
          <w:sz w:val="24"/>
          <w:szCs w:val="24"/>
        </w:rPr>
        <w:t>.</w:t>
      </w:r>
    </w:p>
    <w:p w:rsidR="0096773C" w:rsidRPr="00707F3E" w:rsidRDefault="0096773C" w:rsidP="00DD57A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F3E">
        <w:rPr>
          <w:rFonts w:ascii="Times New Roman" w:hAnsi="Times New Roman" w:cs="Times New Roman"/>
          <w:sz w:val="24"/>
          <w:szCs w:val="24"/>
        </w:rPr>
        <w:t>Самое меньшее количество баллов набрал</w:t>
      </w:r>
      <w:r w:rsidR="00707F3E" w:rsidRPr="00707F3E">
        <w:rPr>
          <w:rFonts w:ascii="Times New Roman" w:hAnsi="Times New Roman" w:cs="Times New Roman"/>
          <w:sz w:val="24"/>
          <w:szCs w:val="24"/>
        </w:rPr>
        <w:t>о</w:t>
      </w:r>
      <w:r w:rsidRPr="00707F3E">
        <w:rPr>
          <w:rFonts w:ascii="Times New Roman" w:hAnsi="Times New Roman" w:cs="Times New Roman"/>
          <w:sz w:val="24"/>
          <w:szCs w:val="24"/>
        </w:rPr>
        <w:t xml:space="preserve"> </w:t>
      </w:r>
      <w:r w:rsidR="00707F3E" w:rsidRPr="00707F3E">
        <w:rPr>
          <w:rFonts w:ascii="Times New Roman" w:hAnsi="Times New Roman" w:cs="Times New Roman"/>
          <w:sz w:val="24"/>
          <w:szCs w:val="24"/>
        </w:rPr>
        <w:t xml:space="preserve">МКУ «Централизованная бухгалтерия» </w:t>
      </w:r>
      <w:r w:rsidR="00425BF9" w:rsidRPr="00707F3E">
        <w:rPr>
          <w:rFonts w:ascii="Times New Roman" w:hAnsi="Times New Roman" w:cs="Times New Roman"/>
          <w:sz w:val="24"/>
          <w:szCs w:val="24"/>
        </w:rPr>
        <w:t>(</w:t>
      </w:r>
      <w:r w:rsidR="00707F3E" w:rsidRPr="00707F3E">
        <w:rPr>
          <w:rFonts w:ascii="Times New Roman" w:hAnsi="Times New Roman" w:cs="Times New Roman"/>
          <w:sz w:val="24"/>
          <w:szCs w:val="24"/>
        </w:rPr>
        <w:t>73,9</w:t>
      </w:r>
      <w:r w:rsidR="00425BF9" w:rsidRPr="00707F3E">
        <w:rPr>
          <w:rFonts w:ascii="Times New Roman" w:hAnsi="Times New Roman" w:cs="Times New Roman"/>
          <w:sz w:val="24"/>
          <w:szCs w:val="24"/>
        </w:rPr>
        <w:t xml:space="preserve"> балла), самое высокое количество баллов - Департамент финансов (</w:t>
      </w:r>
      <w:r w:rsidR="00707F3E" w:rsidRPr="00707F3E">
        <w:rPr>
          <w:rFonts w:ascii="Times New Roman" w:hAnsi="Times New Roman" w:cs="Times New Roman"/>
          <w:sz w:val="24"/>
          <w:szCs w:val="24"/>
        </w:rPr>
        <w:t>97,5</w:t>
      </w:r>
      <w:r w:rsidR="00425BF9" w:rsidRPr="00707F3E">
        <w:rPr>
          <w:rFonts w:ascii="Times New Roman" w:hAnsi="Times New Roman" w:cs="Times New Roman"/>
          <w:sz w:val="24"/>
          <w:szCs w:val="24"/>
        </w:rPr>
        <w:t xml:space="preserve"> балл</w:t>
      </w:r>
      <w:r w:rsidR="00260D4A">
        <w:rPr>
          <w:rFonts w:ascii="Times New Roman" w:hAnsi="Times New Roman" w:cs="Times New Roman"/>
          <w:sz w:val="24"/>
          <w:szCs w:val="24"/>
        </w:rPr>
        <w:t>ов</w:t>
      </w:r>
      <w:r w:rsidR="00425BF9" w:rsidRPr="00707F3E">
        <w:rPr>
          <w:rFonts w:ascii="Times New Roman" w:hAnsi="Times New Roman" w:cs="Times New Roman"/>
          <w:sz w:val="24"/>
          <w:szCs w:val="24"/>
        </w:rPr>
        <w:t>).</w:t>
      </w:r>
    </w:p>
    <w:p w:rsidR="00DD3D3D" w:rsidRPr="000B36EB" w:rsidRDefault="00DD3D3D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B36EB">
        <w:rPr>
          <w:rFonts w:ascii="Times New Roman" w:hAnsi="Times New Roman" w:cs="Times New Roman"/>
          <w:sz w:val="24"/>
          <w:szCs w:val="24"/>
        </w:rPr>
        <w:t xml:space="preserve">По результатам проведенного мониторинга качества финансового менеджмента итоговые </w:t>
      </w:r>
      <w:r w:rsidR="00E167E3" w:rsidRPr="000B36EB">
        <w:rPr>
          <w:rFonts w:ascii="Times New Roman" w:hAnsi="Times New Roman" w:cs="Times New Roman"/>
          <w:sz w:val="24"/>
          <w:szCs w:val="24"/>
        </w:rPr>
        <w:t xml:space="preserve">балльные </w:t>
      </w:r>
      <w:r w:rsidRPr="000B36EB">
        <w:rPr>
          <w:rFonts w:ascii="Times New Roman" w:hAnsi="Times New Roman" w:cs="Times New Roman"/>
          <w:sz w:val="24"/>
          <w:szCs w:val="24"/>
        </w:rPr>
        <w:t xml:space="preserve">оценки качества финансового менеджмента </w:t>
      </w:r>
      <w:r w:rsidR="00E167E3" w:rsidRPr="000B36EB">
        <w:rPr>
          <w:rFonts w:ascii="Times New Roman" w:hAnsi="Times New Roman" w:cs="Times New Roman"/>
          <w:sz w:val="24"/>
          <w:szCs w:val="24"/>
        </w:rPr>
        <w:t>в разрезе ГАБС сложились следующим образом.</w:t>
      </w:r>
    </w:p>
    <w:p w:rsidR="00DD57AF" w:rsidRPr="005911E5" w:rsidRDefault="00DD57AF" w:rsidP="00DD57A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640CD" w:rsidRPr="009A1A75" w:rsidRDefault="00C30EBB" w:rsidP="00C3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A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64224" cy="459394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937B11" w:rsidRPr="000B36EB" w:rsidRDefault="00937B11" w:rsidP="00937B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B36EB">
        <w:rPr>
          <w:rFonts w:ascii="Times New Roman" w:hAnsi="Times New Roman" w:cs="Times New Roman"/>
          <w:sz w:val="24"/>
          <w:szCs w:val="24"/>
        </w:rPr>
        <w:t xml:space="preserve">В ранжировании главных администраторов бюджетных средств, не имеющих в функциональном подчинении муниципальных учреждений, наилучшие итоговые </w:t>
      </w:r>
      <w:r w:rsidR="00441A34" w:rsidRPr="000B36EB">
        <w:rPr>
          <w:rFonts w:ascii="Times New Roman" w:hAnsi="Times New Roman" w:cs="Times New Roman"/>
          <w:sz w:val="24"/>
          <w:szCs w:val="24"/>
        </w:rPr>
        <w:t xml:space="preserve">балльные </w:t>
      </w:r>
      <w:r w:rsidRPr="000B36EB">
        <w:rPr>
          <w:rFonts w:ascii="Times New Roman" w:hAnsi="Times New Roman" w:cs="Times New Roman"/>
          <w:sz w:val="24"/>
          <w:szCs w:val="24"/>
        </w:rPr>
        <w:t>оценки качества финансового менеджмента имеют следующие:</w:t>
      </w:r>
    </w:p>
    <w:p w:rsidR="00937B11" w:rsidRPr="000B36EB" w:rsidRDefault="00937B11" w:rsidP="00937B11">
      <w:pPr>
        <w:pStyle w:val="a3"/>
        <w:numPr>
          <w:ilvl w:val="0"/>
          <w:numId w:val="9"/>
        </w:numPr>
        <w:spacing w:line="240" w:lineRule="auto"/>
        <w:ind w:left="0" w:firstLine="709"/>
      </w:pPr>
      <w:r w:rsidRPr="000B36EB">
        <w:t>Департамент финансов (</w:t>
      </w:r>
      <w:r w:rsidR="000B36EB" w:rsidRPr="000B36EB">
        <w:t>97,5</w:t>
      </w:r>
      <w:r w:rsidRPr="000B36EB">
        <w:t xml:space="preserve"> балл</w:t>
      </w:r>
      <w:r w:rsidR="00260D4A">
        <w:t>ов</w:t>
      </w:r>
      <w:r w:rsidRPr="000B36EB">
        <w:t>);</w:t>
      </w:r>
    </w:p>
    <w:p w:rsidR="00937B11" w:rsidRPr="000B36EB" w:rsidRDefault="00937B11" w:rsidP="00937B11">
      <w:pPr>
        <w:pStyle w:val="a3"/>
        <w:numPr>
          <w:ilvl w:val="0"/>
          <w:numId w:val="9"/>
        </w:numPr>
        <w:spacing w:line="240" w:lineRule="auto"/>
        <w:ind w:left="0" w:firstLine="709"/>
      </w:pPr>
      <w:r w:rsidRPr="000B36EB">
        <w:lastRenderedPageBreak/>
        <w:t>Администрация города Югорска (</w:t>
      </w:r>
      <w:r w:rsidR="000B36EB" w:rsidRPr="000B36EB">
        <w:t>88</w:t>
      </w:r>
      <w:r w:rsidRPr="000B36EB">
        <w:t>,9 баллов);</w:t>
      </w:r>
    </w:p>
    <w:p w:rsidR="00937B11" w:rsidRPr="000B36EB" w:rsidRDefault="00937B11" w:rsidP="00937B11">
      <w:pPr>
        <w:pStyle w:val="a3"/>
        <w:numPr>
          <w:ilvl w:val="0"/>
          <w:numId w:val="9"/>
        </w:numPr>
        <w:spacing w:line="240" w:lineRule="auto"/>
        <w:ind w:left="0" w:firstLine="709"/>
      </w:pPr>
      <w:r w:rsidRPr="000B36EB">
        <w:t>Департамент жилищно-коммунального и строительного комплекса (8</w:t>
      </w:r>
      <w:r w:rsidR="000B36EB" w:rsidRPr="000B36EB">
        <w:t>6</w:t>
      </w:r>
      <w:r w:rsidRPr="000B36EB">
        <w:t>,8 баллов),</w:t>
      </w:r>
    </w:p>
    <w:p w:rsidR="00937B11" w:rsidRPr="000B36EB" w:rsidRDefault="00937B11" w:rsidP="00937B11">
      <w:pPr>
        <w:pStyle w:val="a3"/>
        <w:spacing w:line="240" w:lineRule="auto"/>
        <w:ind w:left="709"/>
        <w:rPr>
          <w:b/>
        </w:rPr>
      </w:pPr>
      <w:r w:rsidRPr="000B36EB">
        <w:rPr>
          <w:b/>
        </w:rPr>
        <w:t>занимающие 1, 2, 3 места в рейтинге соответственно.</w:t>
      </w:r>
    </w:p>
    <w:p w:rsidR="00937B11" w:rsidRPr="00136DAB" w:rsidRDefault="00937B11" w:rsidP="00937B11">
      <w:pPr>
        <w:pStyle w:val="a3"/>
        <w:spacing w:line="240" w:lineRule="auto"/>
        <w:ind w:left="709"/>
      </w:pPr>
      <w:r w:rsidRPr="00136DAB">
        <w:t>Вместе с тем, самый низкий рейтинг имеют:</w:t>
      </w:r>
    </w:p>
    <w:p w:rsidR="000B36EB" w:rsidRPr="000B36EB" w:rsidRDefault="000B36EB" w:rsidP="000B36EB">
      <w:pPr>
        <w:pStyle w:val="a3"/>
        <w:numPr>
          <w:ilvl w:val="0"/>
          <w:numId w:val="10"/>
        </w:numPr>
        <w:spacing w:line="240" w:lineRule="auto"/>
        <w:ind w:left="0" w:firstLine="709"/>
      </w:pPr>
      <w:r w:rsidRPr="000B36EB">
        <w:t>Дума города Югорска (85,9 баллов),</w:t>
      </w:r>
    </w:p>
    <w:p w:rsidR="00937B11" w:rsidRPr="000B36EB" w:rsidRDefault="00D4720C" w:rsidP="00937B11">
      <w:pPr>
        <w:pStyle w:val="a3"/>
        <w:numPr>
          <w:ilvl w:val="0"/>
          <w:numId w:val="10"/>
        </w:numPr>
        <w:spacing w:line="240" w:lineRule="auto"/>
        <w:ind w:left="0" w:firstLine="709"/>
      </w:pPr>
      <w:r w:rsidRPr="000B36EB">
        <w:t>МКУ «</w:t>
      </w:r>
      <w:r w:rsidR="00937B11" w:rsidRPr="000B36EB">
        <w:t xml:space="preserve">Служба обеспечения </w:t>
      </w:r>
      <w:r w:rsidRPr="000B36EB">
        <w:t>органов местного самоуправления»</w:t>
      </w:r>
      <w:r w:rsidR="00937B11" w:rsidRPr="000B36EB">
        <w:t xml:space="preserve"> (</w:t>
      </w:r>
      <w:r w:rsidR="000B36EB" w:rsidRPr="000B36EB">
        <w:t>74,2</w:t>
      </w:r>
      <w:r w:rsidR="00937B11" w:rsidRPr="000B36EB">
        <w:t xml:space="preserve"> балла);</w:t>
      </w:r>
    </w:p>
    <w:p w:rsidR="00937B11" w:rsidRPr="000B36EB" w:rsidRDefault="00D4720C" w:rsidP="00937B11">
      <w:pPr>
        <w:pStyle w:val="a3"/>
        <w:numPr>
          <w:ilvl w:val="0"/>
          <w:numId w:val="10"/>
        </w:numPr>
        <w:spacing w:line="240" w:lineRule="auto"/>
        <w:ind w:left="0" w:firstLine="709"/>
      </w:pPr>
      <w:r w:rsidRPr="000B36EB">
        <w:t>МКУ «Централизованная бухгалтерия»</w:t>
      </w:r>
      <w:r w:rsidR="00937B11" w:rsidRPr="000B36EB">
        <w:t xml:space="preserve"> (</w:t>
      </w:r>
      <w:r w:rsidR="000B36EB" w:rsidRPr="000B36EB">
        <w:t>73,9</w:t>
      </w:r>
      <w:r w:rsidR="00937B11" w:rsidRPr="000B36EB">
        <w:t xml:space="preserve"> баллов);</w:t>
      </w:r>
    </w:p>
    <w:p w:rsidR="003640CD" w:rsidRPr="000B36EB" w:rsidRDefault="00937B11" w:rsidP="00DD57AF">
      <w:pPr>
        <w:pStyle w:val="a3"/>
        <w:spacing w:line="240" w:lineRule="auto"/>
        <w:ind w:left="709"/>
      </w:pPr>
      <w:r w:rsidRPr="000B36EB">
        <w:rPr>
          <w:b/>
        </w:rPr>
        <w:t>занимающие 4, 5, 6 места в рейтинге соответственно.</w:t>
      </w:r>
    </w:p>
    <w:p w:rsidR="003640CD" w:rsidRPr="000B36EB" w:rsidRDefault="003640CD" w:rsidP="00C30E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37B11" w:rsidRPr="009A1A75" w:rsidRDefault="003640CD" w:rsidP="00DD3D3D">
      <w:pPr>
        <w:spacing w:after="0" w:line="240" w:lineRule="auto"/>
        <w:jc w:val="both"/>
        <w:rPr>
          <w:color w:val="000000"/>
          <w:sz w:val="24"/>
          <w:szCs w:val="24"/>
        </w:rPr>
      </w:pPr>
      <w:r w:rsidRPr="009A1A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228740" cy="4176979"/>
            <wp:effectExtent l="0" t="0" r="0" b="0"/>
            <wp:docPr id="3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A77625" w:rsidRPr="009A1A75" w:rsidRDefault="00BE6C9C" w:rsidP="00A776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A1A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Рейтинг ГАБС, не имеющих подведомственную сеть учреждений, </w:t>
      </w:r>
    </w:p>
    <w:p w:rsidR="00A77625" w:rsidRPr="009A1A75" w:rsidRDefault="002500ED" w:rsidP="00A7762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за 2016 год в сравнении с 2015</w:t>
      </w:r>
      <w:r w:rsidR="00BE6C9C" w:rsidRPr="009A1A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годом</w:t>
      </w:r>
    </w:p>
    <w:p w:rsidR="00443807" w:rsidRPr="009A1A75" w:rsidRDefault="00DC1914" w:rsidP="00A77625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C1914">
        <w:rPr>
          <w:rFonts w:ascii="Times New Roman" w:hAnsi="Times New Roman" w:cs="Times New Roman"/>
          <w:noProof/>
          <w:sz w:val="24"/>
          <w:szCs w:val="24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114.8pt;margin-top:69pt;width:357.15pt;height:1.15pt;flip:y;z-index:251658240;mso-position-horizontal:absolute" o:connectortype="straight" strokecolor="#00b050" strokeweight="1.5pt"/>
        </w:pict>
      </w:r>
      <w:r w:rsidR="00BE6C9C" w:rsidRPr="009A1A7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54902" cy="4557369"/>
            <wp:effectExtent l="19050" t="0" r="3048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37B11" w:rsidRPr="00F5041C" w:rsidRDefault="00937B11" w:rsidP="004438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5041C">
        <w:rPr>
          <w:rFonts w:ascii="Times New Roman" w:hAnsi="Times New Roman" w:cs="Times New Roman"/>
          <w:sz w:val="24"/>
          <w:szCs w:val="24"/>
        </w:rPr>
        <w:t>В ранжировании главных администраторов бюджетных средств, имеющих в функциональном подчинении муниципальные учреждения, наилучшие итоговые оценки качества финансового менеджмента имеют следующие:</w:t>
      </w:r>
    </w:p>
    <w:p w:rsidR="00937B11" w:rsidRPr="00F5041C" w:rsidRDefault="00937B11" w:rsidP="00937B11">
      <w:pPr>
        <w:pStyle w:val="a3"/>
        <w:numPr>
          <w:ilvl w:val="0"/>
          <w:numId w:val="11"/>
        </w:numPr>
        <w:spacing w:line="240" w:lineRule="auto"/>
        <w:ind w:left="0" w:firstLine="709"/>
      </w:pPr>
      <w:r w:rsidRPr="00F5041C">
        <w:t xml:space="preserve">Управление экономической политики (в отношении МАУ </w:t>
      </w:r>
      <w:r w:rsidR="00F01A5B" w:rsidRPr="00F5041C">
        <w:t>«</w:t>
      </w:r>
      <w:r w:rsidRPr="00F5041C">
        <w:t>Многофункциональный центр предоставления государственных и муниципальных услуг</w:t>
      </w:r>
      <w:r w:rsidR="00F01A5B" w:rsidRPr="00F5041C">
        <w:t>»</w:t>
      </w:r>
      <w:r w:rsidRPr="00F5041C">
        <w:t>) (</w:t>
      </w:r>
      <w:r w:rsidR="00F5041C" w:rsidRPr="00F5041C">
        <w:t>91,4</w:t>
      </w:r>
      <w:r w:rsidRPr="00F5041C">
        <w:t xml:space="preserve"> баллов);</w:t>
      </w:r>
    </w:p>
    <w:p w:rsidR="00937B11" w:rsidRPr="00F5041C" w:rsidRDefault="00937B11" w:rsidP="00937B11">
      <w:pPr>
        <w:pStyle w:val="a3"/>
        <w:numPr>
          <w:ilvl w:val="0"/>
          <w:numId w:val="11"/>
        </w:numPr>
        <w:spacing w:line="240" w:lineRule="auto"/>
        <w:ind w:left="0" w:firstLine="709"/>
      </w:pPr>
      <w:r w:rsidRPr="00F5041C">
        <w:t>Управление образования (</w:t>
      </w:r>
      <w:r w:rsidR="00F5041C" w:rsidRPr="00F5041C">
        <w:t>86,0</w:t>
      </w:r>
      <w:r w:rsidRPr="00F5041C">
        <w:t xml:space="preserve"> баллов);</w:t>
      </w:r>
    </w:p>
    <w:p w:rsidR="00937B11" w:rsidRPr="00F5041C" w:rsidRDefault="00F5041C" w:rsidP="00937B11">
      <w:pPr>
        <w:pStyle w:val="a3"/>
        <w:numPr>
          <w:ilvl w:val="0"/>
          <w:numId w:val="11"/>
        </w:numPr>
        <w:spacing w:line="240" w:lineRule="auto"/>
        <w:ind w:left="0" w:firstLine="709"/>
      </w:pPr>
      <w:r w:rsidRPr="00F5041C">
        <w:t>Департамент муниципальной собственности и градостроительства</w:t>
      </w:r>
      <w:r w:rsidR="00937B11" w:rsidRPr="00F5041C">
        <w:t xml:space="preserve"> (</w:t>
      </w:r>
      <w:r w:rsidRPr="00F5041C">
        <w:t>83,7</w:t>
      </w:r>
      <w:r w:rsidR="00937B11" w:rsidRPr="00F5041C">
        <w:t xml:space="preserve"> балла),</w:t>
      </w:r>
    </w:p>
    <w:p w:rsidR="00937B11" w:rsidRPr="00F5041C" w:rsidRDefault="00937B11" w:rsidP="00937B11">
      <w:pPr>
        <w:pStyle w:val="a3"/>
        <w:spacing w:line="240" w:lineRule="auto"/>
        <w:ind w:left="709"/>
        <w:rPr>
          <w:b/>
        </w:rPr>
      </w:pPr>
      <w:r w:rsidRPr="00F5041C">
        <w:rPr>
          <w:b/>
        </w:rPr>
        <w:t>занимающие 1, 2, 3 места в рейтинге соответственно.</w:t>
      </w:r>
    </w:p>
    <w:p w:rsidR="00937B11" w:rsidRPr="00F5041C" w:rsidRDefault="00937B11" w:rsidP="00937B11">
      <w:pPr>
        <w:pStyle w:val="a3"/>
        <w:spacing w:line="240" w:lineRule="auto"/>
        <w:ind w:left="0" w:firstLine="709"/>
      </w:pPr>
      <w:r w:rsidRPr="00F5041C">
        <w:t>Самый низкий рейтинг имеют:</w:t>
      </w:r>
    </w:p>
    <w:p w:rsidR="00937B11" w:rsidRPr="00F5041C" w:rsidRDefault="00937B11" w:rsidP="00937B11">
      <w:pPr>
        <w:pStyle w:val="a3"/>
        <w:numPr>
          <w:ilvl w:val="0"/>
          <w:numId w:val="12"/>
        </w:numPr>
        <w:spacing w:line="240" w:lineRule="auto"/>
        <w:ind w:left="0" w:firstLine="709"/>
      </w:pPr>
      <w:r w:rsidRPr="00F5041C">
        <w:t>Управление социальной политики (</w:t>
      </w:r>
      <w:r w:rsidR="00F5041C" w:rsidRPr="00F5041C">
        <w:t>77,1</w:t>
      </w:r>
      <w:r w:rsidRPr="00F5041C">
        <w:t xml:space="preserve"> баллов);</w:t>
      </w:r>
    </w:p>
    <w:p w:rsidR="00937B11" w:rsidRPr="00F5041C" w:rsidRDefault="00F5041C" w:rsidP="00937B11">
      <w:pPr>
        <w:pStyle w:val="a3"/>
        <w:numPr>
          <w:ilvl w:val="0"/>
          <w:numId w:val="12"/>
        </w:numPr>
        <w:ind w:left="0" w:firstLine="709"/>
      </w:pPr>
      <w:r w:rsidRPr="00F5041C">
        <w:t xml:space="preserve">Управление культуры </w:t>
      </w:r>
      <w:r w:rsidR="00937B11" w:rsidRPr="00F5041C">
        <w:t xml:space="preserve"> (</w:t>
      </w:r>
      <w:r w:rsidRPr="00F5041C">
        <w:t>74,6</w:t>
      </w:r>
      <w:r w:rsidR="00937B11" w:rsidRPr="00F5041C">
        <w:t xml:space="preserve"> балла),</w:t>
      </w:r>
    </w:p>
    <w:p w:rsidR="00937B11" w:rsidRPr="00F5041C" w:rsidRDefault="00937B11" w:rsidP="00937B11">
      <w:pPr>
        <w:pStyle w:val="a3"/>
        <w:spacing w:line="240" w:lineRule="auto"/>
        <w:ind w:left="709"/>
        <w:rPr>
          <w:b/>
        </w:rPr>
      </w:pPr>
      <w:r w:rsidRPr="00F5041C">
        <w:rPr>
          <w:b/>
        </w:rPr>
        <w:t>занимающие 4 и 5 места в рейтинге соответственно.</w:t>
      </w:r>
    </w:p>
    <w:p w:rsidR="00FD429C" w:rsidRPr="00F5041C" w:rsidRDefault="00FD429C" w:rsidP="00937B11">
      <w:pPr>
        <w:pStyle w:val="a3"/>
        <w:spacing w:line="240" w:lineRule="auto"/>
        <w:ind w:left="709"/>
        <w:rPr>
          <w:b/>
        </w:rPr>
      </w:pPr>
    </w:p>
    <w:p w:rsidR="00D8189C" w:rsidRPr="009A1A75" w:rsidRDefault="003640CD" w:rsidP="00DD3D3D">
      <w:pPr>
        <w:spacing w:after="0" w:line="240" w:lineRule="auto"/>
        <w:jc w:val="both"/>
        <w:rPr>
          <w:color w:val="000000"/>
          <w:sz w:val="24"/>
          <w:szCs w:val="24"/>
        </w:rPr>
      </w:pPr>
      <w:r w:rsidRPr="009A1A75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6232550" cy="3313786"/>
            <wp:effectExtent l="0" t="0" r="0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5B363A" w:rsidRDefault="005B363A" w:rsidP="00BE6C9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189C" w:rsidRPr="009A1A75" w:rsidRDefault="00DC1914" w:rsidP="00BE6C9C">
      <w:pPr>
        <w:jc w:val="center"/>
        <w:rPr>
          <w:noProof/>
          <w:color w:val="000000"/>
          <w:sz w:val="28"/>
          <w:szCs w:val="28"/>
        </w:rPr>
      </w:pPr>
      <w:r w:rsidRPr="00DC1914"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100.9pt;margin-top:71.85pt;width:357.15pt;height:4.2pt;z-index:251659264" o:connectortype="straight" strokecolor="#00b050" strokeweight="1.5pt"/>
        </w:pict>
      </w:r>
      <w:proofErr w:type="gramStart"/>
      <w:r w:rsidR="00D8189C" w:rsidRPr="009A1A75">
        <w:rPr>
          <w:rFonts w:ascii="Times New Roman" w:hAnsi="Times New Roman" w:cs="Times New Roman"/>
          <w:b/>
          <w:color w:val="000000"/>
          <w:sz w:val="24"/>
          <w:szCs w:val="24"/>
        </w:rPr>
        <w:t>Рейтинг ГАБС, имеющих в подведомственности муниципальных бюджетные, автономные и казенные учреждений</w:t>
      </w:r>
      <w:r w:rsidR="00BE6C9C" w:rsidRPr="009A1A75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D8189C" w:rsidRPr="009A1A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BE6C9C" w:rsidRPr="009A1A75">
        <w:rPr>
          <w:rFonts w:ascii="Times New Roman" w:hAnsi="Times New Roman" w:cs="Times New Roman"/>
          <w:b/>
          <w:color w:val="000000"/>
          <w:sz w:val="24"/>
          <w:szCs w:val="24"/>
        </w:rPr>
        <w:t>за 201</w:t>
      </w:r>
      <w:r w:rsidR="005B363A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="00BE6C9C" w:rsidRPr="009A1A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 в сравнении с 201</w:t>
      </w:r>
      <w:r w:rsidR="005B363A">
        <w:rPr>
          <w:rFonts w:ascii="Times New Roman" w:hAnsi="Times New Roman" w:cs="Times New Roman"/>
          <w:b/>
          <w:color w:val="000000"/>
          <w:sz w:val="24"/>
          <w:szCs w:val="24"/>
        </w:rPr>
        <w:t>5</w:t>
      </w:r>
      <w:r w:rsidR="00BE6C9C" w:rsidRPr="009A1A7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годом</w:t>
      </w:r>
      <w:r w:rsidR="009E07B9" w:rsidRPr="009A1A75">
        <w:rPr>
          <w:noProof/>
          <w:color w:val="000000"/>
          <w:sz w:val="28"/>
          <w:szCs w:val="28"/>
        </w:rPr>
        <w:drawing>
          <wp:inline distT="0" distB="0" distL="0" distR="0">
            <wp:extent cx="6225235" cy="3416198"/>
            <wp:effectExtent l="0" t="0" r="0" b="0"/>
            <wp:docPr id="7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proofErr w:type="gramEnd"/>
    </w:p>
    <w:p w:rsidR="00441A34" w:rsidRPr="00CD42A5" w:rsidRDefault="00441A34" w:rsidP="00441A34">
      <w:pPr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CD42A5">
        <w:rPr>
          <w:rFonts w:ascii="Times New Roman" w:hAnsi="Times New Roman" w:cs="Times New Roman"/>
          <w:noProof/>
          <w:sz w:val="24"/>
          <w:szCs w:val="24"/>
        </w:rPr>
        <w:t>Далее приведена оценка качества финансового менеджмента в разрезе каждого показателя.</w:t>
      </w:r>
    </w:p>
    <w:p w:rsidR="00D8189C" w:rsidRPr="00CD42A5" w:rsidRDefault="00D8189C" w:rsidP="00F66F78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42A5">
        <w:rPr>
          <w:rFonts w:ascii="Times New Roman" w:hAnsi="Times New Roman" w:cs="Times New Roman"/>
          <w:b/>
          <w:sz w:val="24"/>
          <w:szCs w:val="24"/>
        </w:rPr>
        <w:t>Оценка качества планирования расходов бюджета</w:t>
      </w:r>
    </w:p>
    <w:p w:rsidR="00441A34" w:rsidRPr="009A1A75" w:rsidRDefault="00441A34" w:rsidP="00441A34">
      <w:pPr>
        <w:spacing w:after="0" w:line="240" w:lineRule="auto"/>
        <w:ind w:left="720"/>
        <w:rPr>
          <w:b/>
          <w:color w:val="000000"/>
          <w:sz w:val="24"/>
          <w:szCs w:val="24"/>
        </w:rPr>
      </w:pPr>
    </w:p>
    <w:p w:rsidR="00D8189C" w:rsidRPr="00CD42A5" w:rsidRDefault="00D8189C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2A5">
        <w:rPr>
          <w:rFonts w:ascii="Times New Roman" w:hAnsi="Times New Roman" w:cs="Times New Roman"/>
          <w:sz w:val="24"/>
          <w:szCs w:val="24"/>
        </w:rPr>
        <w:t>Для расчёта показателей Мониторинга в части планирования расходов использовались:</w:t>
      </w:r>
    </w:p>
    <w:p w:rsidR="00D8189C" w:rsidRPr="00CD42A5" w:rsidRDefault="00D8189C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2A5">
        <w:rPr>
          <w:rFonts w:ascii="Times New Roman" w:hAnsi="Times New Roman" w:cs="Times New Roman"/>
          <w:sz w:val="24"/>
          <w:szCs w:val="24"/>
        </w:rPr>
        <w:t xml:space="preserve">данные </w:t>
      </w:r>
      <w:r w:rsidR="00FB74B9" w:rsidRPr="00CD42A5">
        <w:rPr>
          <w:rFonts w:ascii="Times New Roman" w:hAnsi="Times New Roman" w:cs="Times New Roman"/>
          <w:sz w:val="24"/>
          <w:szCs w:val="24"/>
        </w:rPr>
        <w:t xml:space="preserve">автоматизированной системы "Бюджет" </w:t>
      </w:r>
      <w:r w:rsidRPr="00CD42A5">
        <w:rPr>
          <w:rFonts w:ascii="Times New Roman" w:hAnsi="Times New Roman" w:cs="Times New Roman"/>
          <w:sz w:val="24"/>
          <w:szCs w:val="24"/>
        </w:rPr>
        <w:t xml:space="preserve">о </w:t>
      </w:r>
      <w:r w:rsidR="00FB74B9" w:rsidRPr="00CD42A5">
        <w:rPr>
          <w:rFonts w:ascii="Times New Roman" w:hAnsi="Times New Roman" w:cs="Times New Roman"/>
          <w:sz w:val="24"/>
          <w:szCs w:val="24"/>
        </w:rPr>
        <w:t xml:space="preserve">плановых назначениях, о </w:t>
      </w:r>
      <w:r w:rsidRPr="00CD42A5">
        <w:rPr>
          <w:rFonts w:ascii="Times New Roman" w:hAnsi="Times New Roman" w:cs="Times New Roman"/>
          <w:sz w:val="24"/>
          <w:szCs w:val="24"/>
        </w:rPr>
        <w:t>кассовом исполнении за 201</w:t>
      </w:r>
      <w:r w:rsidR="000929D9">
        <w:rPr>
          <w:rFonts w:ascii="Times New Roman" w:hAnsi="Times New Roman" w:cs="Times New Roman"/>
          <w:sz w:val="24"/>
          <w:szCs w:val="24"/>
        </w:rPr>
        <w:t>6</w:t>
      </w:r>
      <w:r w:rsidRPr="00CD42A5">
        <w:rPr>
          <w:rFonts w:ascii="Times New Roman" w:hAnsi="Times New Roman" w:cs="Times New Roman"/>
          <w:sz w:val="24"/>
          <w:szCs w:val="24"/>
        </w:rPr>
        <w:t xml:space="preserve"> год расходов на реализацию </w:t>
      </w:r>
      <w:r w:rsidR="00FB74B9" w:rsidRPr="00CD42A5">
        <w:rPr>
          <w:rFonts w:ascii="Times New Roman" w:hAnsi="Times New Roman" w:cs="Times New Roman"/>
          <w:sz w:val="24"/>
          <w:szCs w:val="24"/>
        </w:rPr>
        <w:t xml:space="preserve">муниципальных </w:t>
      </w:r>
      <w:r w:rsidRPr="00CD42A5">
        <w:rPr>
          <w:rFonts w:ascii="Times New Roman" w:hAnsi="Times New Roman" w:cs="Times New Roman"/>
          <w:sz w:val="24"/>
          <w:szCs w:val="24"/>
        </w:rPr>
        <w:t xml:space="preserve">программ </w:t>
      </w:r>
      <w:r w:rsidR="00FB74B9" w:rsidRPr="00CD42A5">
        <w:rPr>
          <w:rFonts w:ascii="Times New Roman" w:hAnsi="Times New Roman" w:cs="Times New Roman"/>
          <w:sz w:val="24"/>
          <w:szCs w:val="24"/>
        </w:rPr>
        <w:t>города Югорска</w:t>
      </w:r>
      <w:r w:rsidRPr="00CD42A5">
        <w:rPr>
          <w:rFonts w:ascii="Times New Roman" w:hAnsi="Times New Roman" w:cs="Times New Roman"/>
          <w:sz w:val="24"/>
          <w:szCs w:val="24"/>
        </w:rPr>
        <w:t>;</w:t>
      </w:r>
    </w:p>
    <w:p w:rsidR="00FB74B9" w:rsidRPr="00CD42A5" w:rsidRDefault="00FB74B9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2A5">
        <w:rPr>
          <w:rFonts w:ascii="Times New Roman" w:hAnsi="Times New Roman" w:cs="Times New Roman"/>
          <w:sz w:val="24"/>
          <w:szCs w:val="24"/>
        </w:rPr>
        <w:t>правовые акты ГРБС;</w:t>
      </w:r>
    </w:p>
    <w:p w:rsidR="00DE5016" w:rsidRPr="00CD42A5" w:rsidRDefault="00D8189C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2A5">
        <w:rPr>
          <w:rFonts w:ascii="Times New Roman" w:hAnsi="Times New Roman" w:cs="Times New Roman"/>
          <w:sz w:val="24"/>
          <w:szCs w:val="24"/>
        </w:rPr>
        <w:t xml:space="preserve">справки о внесении изменений в сводную бюджетную роспись бюджета </w:t>
      </w:r>
      <w:r w:rsidR="00FB74B9" w:rsidRPr="00CD42A5">
        <w:rPr>
          <w:rFonts w:ascii="Times New Roman" w:hAnsi="Times New Roman" w:cs="Times New Roman"/>
          <w:sz w:val="24"/>
          <w:szCs w:val="24"/>
        </w:rPr>
        <w:t>города Югорска</w:t>
      </w:r>
      <w:r w:rsidRPr="00CD42A5">
        <w:rPr>
          <w:rFonts w:ascii="Times New Roman" w:hAnsi="Times New Roman" w:cs="Times New Roman"/>
          <w:sz w:val="24"/>
          <w:szCs w:val="24"/>
        </w:rPr>
        <w:t xml:space="preserve"> в случае перераспределения бюджетных ассигнований в разрезе кодов </w:t>
      </w:r>
      <w:r w:rsidR="00FB74B9" w:rsidRPr="00CD42A5">
        <w:rPr>
          <w:rFonts w:ascii="Times New Roman" w:hAnsi="Times New Roman" w:cs="Times New Roman"/>
          <w:sz w:val="24"/>
          <w:szCs w:val="24"/>
        </w:rPr>
        <w:t xml:space="preserve">бюджетной </w:t>
      </w:r>
      <w:r w:rsidRPr="00CD42A5">
        <w:rPr>
          <w:rFonts w:ascii="Times New Roman" w:hAnsi="Times New Roman" w:cs="Times New Roman"/>
          <w:sz w:val="24"/>
          <w:szCs w:val="24"/>
        </w:rPr>
        <w:t xml:space="preserve">классификации </w:t>
      </w:r>
      <w:r w:rsidR="00FB74B9" w:rsidRPr="00CD42A5">
        <w:rPr>
          <w:rFonts w:ascii="Times New Roman" w:hAnsi="Times New Roman" w:cs="Times New Roman"/>
          <w:sz w:val="24"/>
          <w:szCs w:val="24"/>
        </w:rPr>
        <w:t>расходов;</w:t>
      </w:r>
    </w:p>
    <w:p w:rsidR="00FB74B9" w:rsidRPr="00CD42A5" w:rsidRDefault="00DE5016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2A5">
        <w:rPr>
          <w:rFonts w:ascii="Times New Roman" w:hAnsi="Times New Roman" w:cs="Times New Roman"/>
          <w:sz w:val="24"/>
          <w:szCs w:val="24"/>
        </w:rPr>
        <w:lastRenderedPageBreak/>
        <w:t>сопроводительные письма ГАБС о представлении информаций, документов и материалов, письма департамента финансов с требованием внести изменения в представленные документы и материалы</w:t>
      </w:r>
      <w:r w:rsidR="00FB74B9" w:rsidRPr="00CD42A5">
        <w:rPr>
          <w:rFonts w:ascii="Times New Roman" w:hAnsi="Times New Roman" w:cs="Times New Roman"/>
          <w:sz w:val="24"/>
          <w:szCs w:val="24"/>
        </w:rPr>
        <w:t>;</w:t>
      </w:r>
    </w:p>
    <w:p w:rsidR="00D8189C" w:rsidRPr="00CD42A5" w:rsidRDefault="00FB74B9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2A5">
        <w:rPr>
          <w:rFonts w:ascii="Times New Roman" w:hAnsi="Times New Roman" w:cs="Times New Roman"/>
          <w:sz w:val="24"/>
          <w:szCs w:val="24"/>
        </w:rPr>
        <w:t>информация, размещенная на официальном сайте администрации города Югорска в сети Интернет</w:t>
      </w:r>
      <w:r w:rsidR="00D8189C" w:rsidRPr="00CD42A5">
        <w:rPr>
          <w:rFonts w:ascii="Times New Roman" w:hAnsi="Times New Roman" w:cs="Times New Roman"/>
          <w:sz w:val="24"/>
          <w:szCs w:val="24"/>
        </w:rPr>
        <w:t>.</w:t>
      </w:r>
    </w:p>
    <w:p w:rsidR="008A7498" w:rsidRPr="00CD42A5" w:rsidRDefault="008A7498" w:rsidP="008A7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D42A5">
        <w:rPr>
          <w:rFonts w:ascii="Times New Roman" w:hAnsi="Times New Roman" w:cs="Times New Roman"/>
          <w:sz w:val="24"/>
          <w:szCs w:val="24"/>
        </w:rPr>
        <w:t xml:space="preserve">Средняя балльная оценка по </w:t>
      </w:r>
      <w:r w:rsidR="00EF2765" w:rsidRPr="00CD42A5">
        <w:rPr>
          <w:rFonts w:ascii="Times New Roman" w:hAnsi="Times New Roman" w:cs="Times New Roman"/>
          <w:sz w:val="24"/>
          <w:szCs w:val="24"/>
        </w:rPr>
        <w:t>1</w:t>
      </w:r>
      <w:r w:rsidR="002E0D34" w:rsidRPr="00CD42A5">
        <w:rPr>
          <w:rFonts w:ascii="Times New Roman" w:hAnsi="Times New Roman" w:cs="Times New Roman"/>
          <w:sz w:val="24"/>
          <w:szCs w:val="24"/>
        </w:rPr>
        <w:t>-й группе показателей за 2016</w:t>
      </w:r>
      <w:r w:rsidRPr="00CD42A5">
        <w:rPr>
          <w:rFonts w:ascii="Times New Roman" w:hAnsi="Times New Roman" w:cs="Times New Roman"/>
          <w:sz w:val="24"/>
          <w:szCs w:val="24"/>
        </w:rPr>
        <w:t xml:space="preserve"> год </w:t>
      </w:r>
      <w:r w:rsidR="00EF2765" w:rsidRPr="00CD42A5">
        <w:rPr>
          <w:rFonts w:ascii="Times New Roman" w:hAnsi="Times New Roman" w:cs="Times New Roman"/>
          <w:sz w:val="24"/>
          <w:szCs w:val="24"/>
        </w:rPr>
        <w:t xml:space="preserve">самая </w:t>
      </w:r>
      <w:r w:rsidRPr="00CD42A5">
        <w:rPr>
          <w:rFonts w:ascii="Times New Roman" w:hAnsi="Times New Roman" w:cs="Times New Roman"/>
          <w:sz w:val="24"/>
          <w:szCs w:val="24"/>
        </w:rPr>
        <w:t xml:space="preserve">низкая </w:t>
      </w:r>
      <w:r w:rsidR="00EF2765" w:rsidRPr="00CD42A5">
        <w:rPr>
          <w:rFonts w:ascii="Times New Roman" w:hAnsi="Times New Roman" w:cs="Times New Roman"/>
          <w:sz w:val="24"/>
          <w:szCs w:val="24"/>
        </w:rPr>
        <w:t xml:space="preserve">из 5 групп показателей </w:t>
      </w:r>
      <w:r w:rsidRPr="00CD42A5">
        <w:rPr>
          <w:rFonts w:ascii="Times New Roman" w:hAnsi="Times New Roman" w:cs="Times New Roman"/>
          <w:sz w:val="24"/>
          <w:szCs w:val="24"/>
        </w:rPr>
        <w:t xml:space="preserve">и составила </w:t>
      </w:r>
      <w:r w:rsidR="00CD42A5" w:rsidRPr="00CD42A5">
        <w:rPr>
          <w:rFonts w:ascii="Times New Roman" w:hAnsi="Times New Roman" w:cs="Times New Roman"/>
          <w:sz w:val="24"/>
          <w:szCs w:val="24"/>
        </w:rPr>
        <w:t>74,2</w:t>
      </w:r>
      <w:r w:rsidRPr="00CD42A5">
        <w:rPr>
          <w:rFonts w:ascii="Times New Roman" w:hAnsi="Times New Roman" w:cs="Times New Roman"/>
          <w:sz w:val="24"/>
          <w:szCs w:val="24"/>
        </w:rPr>
        <w:t xml:space="preserve"> балл</w:t>
      </w:r>
      <w:r w:rsidR="00EF2765" w:rsidRPr="00CD42A5">
        <w:rPr>
          <w:rFonts w:ascii="Times New Roman" w:hAnsi="Times New Roman" w:cs="Times New Roman"/>
          <w:sz w:val="24"/>
          <w:szCs w:val="24"/>
        </w:rPr>
        <w:t>а</w:t>
      </w:r>
      <w:r w:rsidRPr="00CD42A5">
        <w:rPr>
          <w:rFonts w:ascii="Times New Roman" w:hAnsi="Times New Roman" w:cs="Times New Roman"/>
          <w:sz w:val="24"/>
          <w:szCs w:val="24"/>
        </w:rPr>
        <w:t xml:space="preserve"> по 100</w:t>
      </w:r>
      <w:r w:rsidR="00EF2765" w:rsidRPr="00CD42A5">
        <w:rPr>
          <w:rFonts w:ascii="Times New Roman" w:hAnsi="Times New Roman" w:cs="Times New Roman"/>
          <w:sz w:val="24"/>
          <w:szCs w:val="24"/>
        </w:rPr>
        <w:t xml:space="preserve">-балльной шкале, что на </w:t>
      </w:r>
      <w:r w:rsidR="00CD42A5" w:rsidRPr="00CD42A5">
        <w:rPr>
          <w:rFonts w:ascii="Times New Roman" w:hAnsi="Times New Roman" w:cs="Times New Roman"/>
          <w:sz w:val="24"/>
          <w:szCs w:val="24"/>
        </w:rPr>
        <w:t>3,0</w:t>
      </w:r>
      <w:r w:rsidRPr="00CD42A5">
        <w:rPr>
          <w:rFonts w:ascii="Times New Roman" w:hAnsi="Times New Roman" w:cs="Times New Roman"/>
          <w:sz w:val="24"/>
          <w:szCs w:val="24"/>
        </w:rPr>
        <w:t xml:space="preserve"> балла выше значения за 201</w:t>
      </w:r>
      <w:r w:rsidR="002D6AA7" w:rsidRPr="00CD42A5">
        <w:rPr>
          <w:rFonts w:ascii="Times New Roman" w:hAnsi="Times New Roman" w:cs="Times New Roman"/>
          <w:sz w:val="24"/>
          <w:szCs w:val="24"/>
        </w:rPr>
        <w:t>5</w:t>
      </w:r>
      <w:r w:rsidRPr="00CD42A5">
        <w:rPr>
          <w:rFonts w:ascii="Times New Roman" w:hAnsi="Times New Roman" w:cs="Times New Roman"/>
          <w:sz w:val="24"/>
          <w:szCs w:val="24"/>
        </w:rPr>
        <w:t xml:space="preserve"> год (в 201</w:t>
      </w:r>
      <w:r w:rsidR="002D6AA7" w:rsidRPr="00CD42A5">
        <w:rPr>
          <w:rFonts w:ascii="Times New Roman" w:hAnsi="Times New Roman" w:cs="Times New Roman"/>
          <w:sz w:val="24"/>
          <w:szCs w:val="24"/>
        </w:rPr>
        <w:t>5</w:t>
      </w:r>
      <w:r w:rsidRPr="00CD42A5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 группе показателей составляла </w:t>
      </w:r>
      <w:r w:rsidR="002D6AA7" w:rsidRPr="00CD42A5">
        <w:rPr>
          <w:rFonts w:ascii="Times New Roman" w:hAnsi="Times New Roman" w:cs="Times New Roman"/>
          <w:sz w:val="24"/>
          <w:szCs w:val="24"/>
        </w:rPr>
        <w:t>71,2</w:t>
      </w:r>
      <w:r w:rsidRPr="00CD42A5">
        <w:rPr>
          <w:rFonts w:ascii="Times New Roman" w:hAnsi="Times New Roman" w:cs="Times New Roman"/>
          <w:sz w:val="24"/>
          <w:szCs w:val="24"/>
        </w:rPr>
        <w:t xml:space="preserve"> балл</w:t>
      </w:r>
      <w:r w:rsidR="00EF2765" w:rsidRPr="00CD42A5">
        <w:rPr>
          <w:rFonts w:ascii="Times New Roman" w:hAnsi="Times New Roman" w:cs="Times New Roman"/>
          <w:sz w:val="24"/>
          <w:szCs w:val="24"/>
        </w:rPr>
        <w:t>а</w:t>
      </w:r>
      <w:r w:rsidRPr="00CD42A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EF2765" w:rsidRPr="00596DF9" w:rsidRDefault="00CD42A5" w:rsidP="008A7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96DF9">
        <w:rPr>
          <w:rFonts w:ascii="Times New Roman" w:hAnsi="Times New Roman" w:cs="Times New Roman"/>
          <w:sz w:val="24"/>
          <w:szCs w:val="24"/>
        </w:rPr>
        <w:t>5</w:t>
      </w:r>
      <w:r w:rsidR="008A7498" w:rsidRPr="00596DF9">
        <w:rPr>
          <w:rFonts w:ascii="Times New Roman" w:hAnsi="Times New Roman" w:cs="Times New Roman"/>
          <w:sz w:val="24"/>
          <w:szCs w:val="24"/>
        </w:rPr>
        <w:t xml:space="preserve"> ГАБС или </w:t>
      </w:r>
      <w:r w:rsidRPr="00596DF9">
        <w:rPr>
          <w:rFonts w:ascii="Times New Roman" w:hAnsi="Times New Roman" w:cs="Times New Roman"/>
          <w:sz w:val="24"/>
          <w:szCs w:val="24"/>
        </w:rPr>
        <w:t>45</w:t>
      </w:r>
      <w:r w:rsidR="008A7498" w:rsidRPr="00596DF9">
        <w:rPr>
          <w:rFonts w:ascii="Times New Roman" w:hAnsi="Times New Roman" w:cs="Times New Roman"/>
          <w:sz w:val="24"/>
          <w:szCs w:val="24"/>
        </w:rPr>
        <w:t xml:space="preserve">,5% от общего количества оцениваемых ГАБС имеют значения балльной оценки качества финансового менеджмента </w:t>
      </w:r>
      <w:r w:rsidR="00EF2765" w:rsidRPr="00596DF9">
        <w:rPr>
          <w:rFonts w:ascii="Times New Roman" w:hAnsi="Times New Roman" w:cs="Times New Roman"/>
          <w:sz w:val="24"/>
          <w:szCs w:val="24"/>
        </w:rPr>
        <w:t>выш</w:t>
      </w:r>
      <w:r w:rsidR="008A7498" w:rsidRPr="00596DF9">
        <w:rPr>
          <w:rFonts w:ascii="Times New Roman" w:hAnsi="Times New Roman" w:cs="Times New Roman"/>
          <w:sz w:val="24"/>
          <w:szCs w:val="24"/>
        </w:rPr>
        <w:t>е среднего</w:t>
      </w:r>
      <w:r w:rsidR="00153C06" w:rsidRPr="00596DF9">
        <w:t xml:space="preserve"> </w:t>
      </w:r>
      <w:r w:rsidR="00153C06" w:rsidRPr="00596DF9">
        <w:rPr>
          <w:rFonts w:ascii="Times New Roman" w:hAnsi="Times New Roman" w:cs="Times New Roman"/>
          <w:sz w:val="24"/>
          <w:szCs w:val="24"/>
        </w:rPr>
        <w:t>(по убыванию баллов:</w:t>
      </w:r>
      <w:proofErr w:type="gramEnd"/>
      <w:r w:rsidR="00153C06" w:rsidRPr="00596DF9">
        <w:t xml:space="preserve"> </w:t>
      </w:r>
      <w:r w:rsidR="00153C06" w:rsidRPr="00596DF9">
        <w:rPr>
          <w:rFonts w:ascii="Times New Roman" w:hAnsi="Times New Roman" w:cs="Times New Roman"/>
          <w:sz w:val="24"/>
          <w:szCs w:val="24"/>
        </w:rPr>
        <w:t xml:space="preserve">Департамент финансов – </w:t>
      </w:r>
      <w:r w:rsidRPr="00596DF9">
        <w:rPr>
          <w:rFonts w:ascii="Times New Roman" w:hAnsi="Times New Roman" w:cs="Times New Roman"/>
          <w:sz w:val="24"/>
          <w:szCs w:val="24"/>
        </w:rPr>
        <w:t>95,6</w:t>
      </w:r>
      <w:r w:rsidR="00153C06" w:rsidRPr="00596DF9">
        <w:rPr>
          <w:rFonts w:ascii="Times New Roman" w:hAnsi="Times New Roman" w:cs="Times New Roman"/>
          <w:sz w:val="24"/>
          <w:szCs w:val="24"/>
        </w:rPr>
        <w:t xml:space="preserve">, Департамент жилищно-коммунального и строительного комплекса – </w:t>
      </w:r>
      <w:r w:rsidRPr="00596DF9">
        <w:rPr>
          <w:rFonts w:ascii="Times New Roman" w:hAnsi="Times New Roman" w:cs="Times New Roman"/>
          <w:sz w:val="24"/>
          <w:szCs w:val="24"/>
        </w:rPr>
        <w:t>86,8</w:t>
      </w:r>
      <w:r w:rsidR="00153C06" w:rsidRPr="00596DF9">
        <w:rPr>
          <w:rFonts w:ascii="Times New Roman" w:hAnsi="Times New Roman" w:cs="Times New Roman"/>
          <w:sz w:val="24"/>
          <w:szCs w:val="24"/>
        </w:rPr>
        <w:t>,</w:t>
      </w:r>
      <w:r w:rsidRPr="00596DF9">
        <w:rPr>
          <w:rFonts w:ascii="Times New Roman" w:hAnsi="Times New Roman" w:cs="Times New Roman"/>
          <w:sz w:val="24"/>
          <w:szCs w:val="24"/>
        </w:rPr>
        <w:t>Управление экономической политики (в отношении</w:t>
      </w:r>
      <w:r w:rsidR="00596DF9" w:rsidRPr="00596DF9">
        <w:rPr>
          <w:rFonts w:ascii="Times New Roman" w:hAnsi="Times New Roman" w:cs="Times New Roman"/>
          <w:sz w:val="24"/>
          <w:szCs w:val="24"/>
        </w:rPr>
        <w:t xml:space="preserve"> МАУ «Многофункциональный центр предоставления государственных и муниципальных услуг»</w:t>
      </w:r>
      <w:r w:rsidR="0079359D">
        <w:rPr>
          <w:rFonts w:ascii="Times New Roman" w:hAnsi="Times New Roman" w:cs="Times New Roman"/>
          <w:sz w:val="24"/>
          <w:szCs w:val="24"/>
        </w:rPr>
        <w:t>)</w:t>
      </w:r>
      <w:r w:rsidR="00596DF9" w:rsidRPr="00596DF9">
        <w:rPr>
          <w:rFonts w:ascii="Times New Roman" w:hAnsi="Times New Roman" w:cs="Times New Roman"/>
          <w:sz w:val="24"/>
          <w:szCs w:val="24"/>
        </w:rPr>
        <w:t xml:space="preserve"> - 79,2, Управление образования – 79,1, Администрация города Югорска – 74,7</w:t>
      </w:r>
      <w:proofErr w:type="gramStart"/>
      <w:r w:rsidRPr="00596DF9">
        <w:rPr>
          <w:rFonts w:ascii="Times New Roman" w:hAnsi="Times New Roman" w:cs="Times New Roman"/>
          <w:sz w:val="24"/>
          <w:szCs w:val="24"/>
        </w:rPr>
        <w:t xml:space="preserve"> </w:t>
      </w:r>
      <w:r w:rsidR="00153C06" w:rsidRPr="00596DF9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EF2765" w:rsidRPr="00596DF9">
        <w:rPr>
          <w:rFonts w:ascii="Times New Roman" w:hAnsi="Times New Roman" w:cs="Times New Roman"/>
          <w:sz w:val="24"/>
          <w:szCs w:val="24"/>
        </w:rPr>
        <w:t>.</w:t>
      </w:r>
      <w:r w:rsidR="00153C06" w:rsidRPr="00596DF9">
        <w:rPr>
          <w:rFonts w:ascii="Times New Roman" w:hAnsi="Times New Roman" w:cs="Times New Roman"/>
          <w:sz w:val="24"/>
          <w:szCs w:val="24"/>
        </w:rPr>
        <w:t xml:space="preserve"> Выше 90 баллов набрал</w:t>
      </w:r>
      <w:r w:rsidR="00596DF9" w:rsidRPr="00596DF9">
        <w:rPr>
          <w:rFonts w:ascii="Times New Roman" w:hAnsi="Times New Roman" w:cs="Times New Roman"/>
          <w:sz w:val="24"/>
          <w:szCs w:val="24"/>
        </w:rPr>
        <w:t xml:space="preserve"> Департамент финансов</w:t>
      </w:r>
      <w:r w:rsidR="00153C06" w:rsidRPr="00596DF9">
        <w:rPr>
          <w:rFonts w:ascii="Times New Roman" w:hAnsi="Times New Roman" w:cs="Times New Roman"/>
          <w:sz w:val="24"/>
          <w:szCs w:val="24"/>
        </w:rPr>
        <w:t>.</w:t>
      </w:r>
    </w:p>
    <w:p w:rsidR="00153C06" w:rsidRDefault="00153C06" w:rsidP="008A7498">
      <w:pPr>
        <w:spacing w:after="0" w:line="240" w:lineRule="auto"/>
        <w:ind w:firstLine="709"/>
        <w:jc w:val="both"/>
        <w:rPr>
          <w:noProof/>
          <w:color w:val="FF0000"/>
          <w:sz w:val="24"/>
          <w:szCs w:val="24"/>
        </w:rPr>
      </w:pPr>
      <w:r w:rsidRPr="00596DF9">
        <w:rPr>
          <w:rFonts w:ascii="Times New Roman" w:hAnsi="Times New Roman" w:cs="Times New Roman"/>
          <w:sz w:val="24"/>
          <w:szCs w:val="24"/>
        </w:rPr>
        <w:t>Остальные</w:t>
      </w:r>
      <w:r w:rsidRPr="009A1A75">
        <w:rPr>
          <w:rFonts w:ascii="Times New Roman" w:hAnsi="Times New Roman" w:cs="Times New Roman"/>
          <w:sz w:val="24"/>
          <w:szCs w:val="24"/>
        </w:rPr>
        <w:t xml:space="preserve"> </w:t>
      </w:r>
      <w:r w:rsidR="00596DF9" w:rsidRPr="00A03498">
        <w:rPr>
          <w:rFonts w:ascii="Times New Roman" w:hAnsi="Times New Roman" w:cs="Times New Roman"/>
          <w:sz w:val="24"/>
          <w:szCs w:val="24"/>
        </w:rPr>
        <w:t>6</w:t>
      </w:r>
      <w:r w:rsidR="00EF2765" w:rsidRPr="00A03498">
        <w:rPr>
          <w:rFonts w:ascii="Times New Roman" w:hAnsi="Times New Roman" w:cs="Times New Roman"/>
          <w:sz w:val="24"/>
          <w:szCs w:val="24"/>
        </w:rPr>
        <w:t xml:space="preserve"> ГАБС имеют значения балльной оценки качества финансового менеджмента ниже среднего,</w:t>
      </w:r>
      <w:r w:rsidR="008A7498" w:rsidRPr="00A03498">
        <w:rPr>
          <w:rFonts w:ascii="Times New Roman" w:hAnsi="Times New Roman" w:cs="Times New Roman"/>
          <w:sz w:val="24"/>
          <w:szCs w:val="24"/>
        </w:rPr>
        <w:t xml:space="preserve"> из них 2 ГАБС </w:t>
      </w:r>
      <w:proofErr w:type="gramStart"/>
      <w:r w:rsidR="008A7498" w:rsidRPr="00A03498">
        <w:rPr>
          <w:rFonts w:ascii="Times New Roman" w:hAnsi="Times New Roman" w:cs="Times New Roman"/>
          <w:sz w:val="24"/>
          <w:szCs w:val="24"/>
        </w:rPr>
        <w:t>(</w:t>
      </w:r>
      <w:r w:rsidR="00596DF9" w:rsidRPr="00A0349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848DD" w:rsidRPr="00A03498">
        <w:rPr>
          <w:rFonts w:ascii="Times New Roman" w:hAnsi="Times New Roman" w:cs="Times New Roman"/>
          <w:sz w:val="24"/>
          <w:szCs w:val="24"/>
        </w:rPr>
        <w:t>МКУ «Централизованная бухгалтерия»</w:t>
      </w:r>
      <w:r w:rsidR="00596DF9" w:rsidRPr="00A03498">
        <w:rPr>
          <w:rFonts w:ascii="Times New Roman" w:hAnsi="Times New Roman" w:cs="Times New Roman"/>
          <w:sz w:val="24"/>
          <w:szCs w:val="24"/>
        </w:rPr>
        <w:t xml:space="preserve"> - 61,7 балл</w:t>
      </w:r>
      <w:r w:rsidR="0079359D">
        <w:rPr>
          <w:rFonts w:ascii="Times New Roman" w:hAnsi="Times New Roman" w:cs="Times New Roman"/>
          <w:sz w:val="24"/>
          <w:szCs w:val="24"/>
        </w:rPr>
        <w:t>ов</w:t>
      </w:r>
      <w:r w:rsidR="00596DF9" w:rsidRPr="00A03498">
        <w:rPr>
          <w:rFonts w:ascii="Times New Roman" w:hAnsi="Times New Roman" w:cs="Times New Roman"/>
          <w:sz w:val="24"/>
          <w:szCs w:val="24"/>
        </w:rPr>
        <w:t xml:space="preserve"> и Дума города Югорска – 57,9 балл</w:t>
      </w:r>
      <w:r w:rsidR="0079359D">
        <w:rPr>
          <w:rFonts w:ascii="Times New Roman" w:hAnsi="Times New Roman" w:cs="Times New Roman"/>
          <w:sz w:val="24"/>
          <w:szCs w:val="24"/>
        </w:rPr>
        <w:t>ов</w:t>
      </w:r>
      <w:r w:rsidR="008A7498" w:rsidRPr="00A03498">
        <w:rPr>
          <w:rFonts w:ascii="Times New Roman" w:hAnsi="Times New Roman" w:cs="Times New Roman"/>
          <w:sz w:val="24"/>
          <w:szCs w:val="24"/>
        </w:rPr>
        <w:t xml:space="preserve">) </w:t>
      </w:r>
      <w:r w:rsidR="00EF2765" w:rsidRPr="00A03498">
        <w:rPr>
          <w:rFonts w:ascii="Times New Roman" w:hAnsi="Times New Roman" w:cs="Times New Roman"/>
          <w:sz w:val="24"/>
          <w:szCs w:val="24"/>
        </w:rPr>
        <w:t>получили самые низкие оценки</w:t>
      </w:r>
      <w:r w:rsidR="00596DF9" w:rsidRPr="00A03498">
        <w:rPr>
          <w:rFonts w:ascii="Times New Roman" w:hAnsi="Times New Roman" w:cs="Times New Roman"/>
          <w:sz w:val="24"/>
          <w:szCs w:val="24"/>
        </w:rPr>
        <w:t xml:space="preserve">. Дума города Югорска </w:t>
      </w:r>
      <w:r w:rsidR="00EF2765" w:rsidRPr="00A03498">
        <w:rPr>
          <w:rFonts w:ascii="Times New Roman" w:hAnsi="Times New Roman" w:cs="Times New Roman"/>
          <w:sz w:val="24"/>
          <w:szCs w:val="24"/>
        </w:rPr>
        <w:t xml:space="preserve"> </w:t>
      </w:r>
      <w:r w:rsidR="008A7498" w:rsidRPr="00A03498">
        <w:rPr>
          <w:rFonts w:ascii="Times New Roman" w:hAnsi="Times New Roman" w:cs="Times New Roman"/>
          <w:sz w:val="24"/>
          <w:szCs w:val="24"/>
        </w:rPr>
        <w:t>набра</w:t>
      </w:r>
      <w:r w:rsidR="00596DF9" w:rsidRPr="00A03498">
        <w:rPr>
          <w:rFonts w:ascii="Times New Roman" w:hAnsi="Times New Roman" w:cs="Times New Roman"/>
          <w:sz w:val="24"/>
          <w:szCs w:val="24"/>
        </w:rPr>
        <w:t>ла</w:t>
      </w:r>
      <w:r w:rsidR="008A7498" w:rsidRPr="00A03498">
        <w:rPr>
          <w:rFonts w:ascii="Times New Roman" w:hAnsi="Times New Roman" w:cs="Times New Roman"/>
          <w:sz w:val="24"/>
          <w:szCs w:val="24"/>
        </w:rPr>
        <w:t xml:space="preserve"> </w:t>
      </w:r>
      <w:r w:rsidR="00EF2765" w:rsidRPr="00A03498">
        <w:rPr>
          <w:rFonts w:ascii="Times New Roman" w:hAnsi="Times New Roman" w:cs="Times New Roman"/>
          <w:sz w:val="24"/>
          <w:szCs w:val="24"/>
        </w:rPr>
        <w:t>меньше</w:t>
      </w:r>
      <w:r w:rsidR="008A7498" w:rsidRPr="00A03498">
        <w:rPr>
          <w:rFonts w:ascii="Times New Roman" w:hAnsi="Times New Roman" w:cs="Times New Roman"/>
          <w:sz w:val="24"/>
          <w:szCs w:val="24"/>
        </w:rPr>
        <w:t xml:space="preserve"> 60 баллов.</w:t>
      </w:r>
      <w:r w:rsidRPr="009A1A75">
        <w:rPr>
          <w:noProof/>
          <w:color w:val="FF0000"/>
          <w:sz w:val="24"/>
          <w:szCs w:val="24"/>
        </w:rPr>
        <w:t xml:space="preserve"> </w:t>
      </w:r>
    </w:p>
    <w:p w:rsidR="009848DD" w:rsidRPr="009A1A75" w:rsidRDefault="009848DD" w:rsidP="008A7498">
      <w:pPr>
        <w:spacing w:after="0" w:line="240" w:lineRule="auto"/>
        <w:ind w:firstLine="709"/>
        <w:jc w:val="both"/>
        <w:rPr>
          <w:noProof/>
          <w:color w:val="FF0000"/>
          <w:sz w:val="24"/>
          <w:szCs w:val="24"/>
        </w:rPr>
      </w:pPr>
    </w:p>
    <w:p w:rsidR="008A7498" w:rsidRPr="009A1A75" w:rsidRDefault="00153C06" w:rsidP="009848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A75">
        <w:rPr>
          <w:noProof/>
          <w:color w:val="FF0000"/>
          <w:sz w:val="24"/>
          <w:szCs w:val="24"/>
        </w:rPr>
        <w:drawing>
          <wp:inline distT="0" distB="0" distL="0" distR="0">
            <wp:extent cx="6530149" cy="2777706"/>
            <wp:effectExtent l="19050" t="0" r="23051" b="0"/>
            <wp:docPr id="1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848DD" w:rsidRDefault="009848DD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8189C" w:rsidRPr="005367B6" w:rsidRDefault="00D8189C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 xml:space="preserve">Оценка качества планирования расходов бюджета осуществлялась </w:t>
      </w:r>
      <w:r w:rsidR="007D0638" w:rsidRPr="005367B6">
        <w:rPr>
          <w:rFonts w:ascii="Times New Roman" w:hAnsi="Times New Roman" w:cs="Times New Roman"/>
          <w:sz w:val="24"/>
          <w:szCs w:val="24"/>
        </w:rPr>
        <w:t>по 20</w:t>
      </w:r>
      <w:r w:rsidRPr="005367B6">
        <w:rPr>
          <w:rFonts w:ascii="Times New Roman" w:hAnsi="Times New Roman" w:cs="Times New Roman"/>
          <w:sz w:val="24"/>
          <w:szCs w:val="24"/>
        </w:rPr>
        <w:t xml:space="preserve"> показателям:</w:t>
      </w:r>
    </w:p>
    <w:p w:rsidR="00D8189C" w:rsidRPr="005367B6" w:rsidRDefault="00D8189C" w:rsidP="00AE7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ab/>
        <w:t>1) Показатель 1.1</w:t>
      </w:r>
      <w:r w:rsidR="00401A55" w:rsidRPr="005367B6">
        <w:rPr>
          <w:rFonts w:ascii="Times New Roman" w:hAnsi="Times New Roman" w:cs="Times New Roman"/>
          <w:sz w:val="24"/>
          <w:szCs w:val="24"/>
        </w:rPr>
        <w:t>.</w:t>
      </w:r>
      <w:r w:rsidRPr="005367B6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в управление экономической политики администрации города Югорска информации, необходимой для разработки прогноза социально-экономического развития города».</w:t>
      </w:r>
    </w:p>
    <w:p w:rsidR="00D8189C" w:rsidRPr="005367B6" w:rsidRDefault="00D8189C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>Оценка показателя производилась на ос</w:t>
      </w:r>
      <w:r w:rsidR="00A77625" w:rsidRPr="005367B6">
        <w:rPr>
          <w:rFonts w:ascii="Times New Roman" w:hAnsi="Times New Roman" w:cs="Times New Roman"/>
          <w:sz w:val="24"/>
          <w:szCs w:val="24"/>
        </w:rPr>
        <w:t>новании данных, представленных У</w:t>
      </w:r>
      <w:r w:rsidRPr="005367B6">
        <w:rPr>
          <w:rFonts w:ascii="Times New Roman" w:hAnsi="Times New Roman" w:cs="Times New Roman"/>
          <w:sz w:val="24"/>
          <w:szCs w:val="24"/>
        </w:rPr>
        <w:t>правление</w:t>
      </w:r>
      <w:r w:rsidR="00A77625" w:rsidRPr="005367B6">
        <w:rPr>
          <w:rFonts w:ascii="Times New Roman" w:hAnsi="Times New Roman" w:cs="Times New Roman"/>
          <w:sz w:val="24"/>
          <w:szCs w:val="24"/>
        </w:rPr>
        <w:t>м</w:t>
      </w:r>
      <w:r w:rsidRPr="005367B6">
        <w:rPr>
          <w:rFonts w:ascii="Times New Roman" w:hAnsi="Times New Roman" w:cs="Times New Roman"/>
          <w:sz w:val="24"/>
          <w:szCs w:val="24"/>
        </w:rPr>
        <w:t xml:space="preserve"> экономической политики.</w:t>
      </w:r>
    </w:p>
    <w:p w:rsidR="00D8189C" w:rsidRPr="005367B6" w:rsidRDefault="00D8189C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>Показатель по Думе города Югорска, Управлению экономической политики (</w:t>
      </w:r>
      <w:r w:rsidR="00A77625" w:rsidRPr="005367B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5367B6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</w:t>
      </w:r>
      <w:r w:rsidR="00A77625" w:rsidRPr="005367B6">
        <w:rPr>
          <w:rFonts w:ascii="Times New Roman" w:hAnsi="Times New Roman" w:cs="Times New Roman"/>
          <w:sz w:val="24"/>
          <w:szCs w:val="24"/>
        </w:rPr>
        <w:t>, т.к.</w:t>
      </w:r>
      <w:r w:rsidRPr="005367B6">
        <w:rPr>
          <w:rFonts w:ascii="Times New Roman" w:hAnsi="Times New Roman" w:cs="Times New Roman"/>
          <w:sz w:val="24"/>
          <w:szCs w:val="24"/>
        </w:rPr>
        <w:t xml:space="preserve"> </w:t>
      </w:r>
      <w:r w:rsidR="00A77625" w:rsidRPr="005367B6">
        <w:rPr>
          <w:rFonts w:ascii="Times New Roman" w:hAnsi="Times New Roman" w:cs="Times New Roman"/>
          <w:sz w:val="24"/>
          <w:szCs w:val="24"/>
        </w:rPr>
        <w:t>п</w:t>
      </w:r>
      <w:r w:rsidRPr="005367B6">
        <w:rPr>
          <w:rFonts w:ascii="Times New Roman" w:hAnsi="Times New Roman" w:cs="Times New Roman"/>
          <w:sz w:val="24"/>
          <w:szCs w:val="24"/>
        </w:rPr>
        <w:t>редставление информации данными ГАБС не требуется.</w:t>
      </w:r>
    </w:p>
    <w:p w:rsidR="00D8189C" w:rsidRPr="005367B6" w:rsidRDefault="00D8189C" w:rsidP="00AE7E1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ab/>
        <w:t xml:space="preserve">Показатель по </w:t>
      </w:r>
      <w:r w:rsidR="00A77625" w:rsidRPr="005367B6">
        <w:rPr>
          <w:rFonts w:ascii="Times New Roman" w:hAnsi="Times New Roman" w:cs="Times New Roman"/>
          <w:sz w:val="24"/>
          <w:szCs w:val="24"/>
        </w:rPr>
        <w:t>остальным</w:t>
      </w:r>
      <w:r w:rsidRPr="005367B6">
        <w:rPr>
          <w:rFonts w:ascii="Times New Roman" w:hAnsi="Times New Roman" w:cs="Times New Roman"/>
          <w:sz w:val="24"/>
          <w:szCs w:val="24"/>
        </w:rPr>
        <w:t xml:space="preserve">  ГАБС оценен на 100,0 баллов. Сроки предоставления в </w:t>
      </w:r>
      <w:r w:rsidR="0036379B" w:rsidRPr="005367B6">
        <w:rPr>
          <w:rFonts w:ascii="Times New Roman" w:hAnsi="Times New Roman" w:cs="Times New Roman"/>
          <w:sz w:val="24"/>
          <w:szCs w:val="24"/>
        </w:rPr>
        <w:t>У</w:t>
      </w:r>
      <w:r w:rsidRPr="005367B6">
        <w:rPr>
          <w:rFonts w:ascii="Times New Roman" w:hAnsi="Times New Roman" w:cs="Times New Roman"/>
          <w:sz w:val="24"/>
          <w:szCs w:val="24"/>
        </w:rPr>
        <w:t xml:space="preserve">правление экономической политики информации, необходимой для разработки прогноза социально-экономического развития города, всеми ГАБС соблюдены.  </w:t>
      </w:r>
    </w:p>
    <w:p w:rsidR="00017AB4" w:rsidRPr="005367B6" w:rsidRDefault="00017AB4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>Таким образом, средняя балльная оценка по показателю составила 100,0 баллов (в 201</w:t>
      </w:r>
      <w:r w:rsidR="000505C6" w:rsidRPr="005367B6">
        <w:rPr>
          <w:rFonts w:ascii="Times New Roman" w:hAnsi="Times New Roman" w:cs="Times New Roman"/>
          <w:sz w:val="24"/>
          <w:szCs w:val="24"/>
        </w:rPr>
        <w:t>5</w:t>
      </w:r>
      <w:r w:rsidRPr="005367B6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также 100,0 баллов).</w:t>
      </w:r>
    </w:p>
    <w:p w:rsidR="00D8189C" w:rsidRPr="005367B6" w:rsidRDefault="00D8189C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>2) Показатель 1.2</w:t>
      </w:r>
      <w:r w:rsidR="00401A55" w:rsidRPr="005367B6">
        <w:rPr>
          <w:rFonts w:ascii="Times New Roman" w:hAnsi="Times New Roman" w:cs="Times New Roman"/>
          <w:sz w:val="24"/>
          <w:szCs w:val="24"/>
        </w:rPr>
        <w:t>.</w:t>
      </w:r>
      <w:r w:rsidRPr="005367B6">
        <w:rPr>
          <w:rFonts w:ascii="Times New Roman" w:hAnsi="Times New Roman" w:cs="Times New Roman"/>
          <w:sz w:val="24"/>
          <w:szCs w:val="24"/>
        </w:rPr>
        <w:t xml:space="preserve"> «Достоверность и полнота представленной в управление экономической политики администрации города Югорска информации, необходимой для разработки прогноза социально-экономического развития города».</w:t>
      </w:r>
    </w:p>
    <w:p w:rsidR="00AE7E17" w:rsidRPr="005367B6" w:rsidRDefault="00AE7E17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lastRenderedPageBreak/>
        <w:t>Оценка показателя производилась на основании данных, представленных Управлением экономической политики.</w:t>
      </w:r>
    </w:p>
    <w:p w:rsidR="00AE7E17" w:rsidRPr="005367B6" w:rsidRDefault="00AE7E17" w:rsidP="00AE7E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>Показатель по Думе города Югорска, Управлению экономической политики (в отношении 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оценивался, т.к. представление информации данными ГАБС не требуется.</w:t>
      </w:r>
    </w:p>
    <w:p w:rsidR="00D8189C" w:rsidRPr="005367B6" w:rsidRDefault="00D8189C" w:rsidP="00CE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 xml:space="preserve">Показатель по </w:t>
      </w:r>
      <w:r w:rsidR="00CE02E1" w:rsidRPr="005367B6">
        <w:rPr>
          <w:rFonts w:ascii="Times New Roman" w:hAnsi="Times New Roman" w:cs="Times New Roman"/>
          <w:sz w:val="24"/>
          <w:szCs w:val="24"/>
        </w:rPr>
        <w:t>остальным</w:t>
      </w:r>
      <w:r w:rsidRPr="005367B6">
        <w:rPr>
          <w:rFonts w:ascii="Times New Roman" w:hAnsi="Times New Roman" w:cs="Times New Roman"/>
          <w:sz w:val="24"/>
          <w:szCs w:val="24"/>
        </w:rPr>
        <w:t xml:space="preserve"> ГАБС оценен на 100,0 баллов. Информация, необходимая для разработки прогноза социально-экономического развития города, представлена в </w:t>
      </w:r>
      <w:r w:rsidR="0036379B" w:rsidRPr="005367B6">
        <w:rPr>
          <w:rFonts w:ascii="Times New Roman" w:hAnsi="Times New Roman" w:cs="Times New Roman"/>
          <w:sz w:val="24"/>
          <w:szCs w:val="24"/>
        </w:rPr>
        <w:t>У</w:t>
      </w:r>
      <w:r w:rsidRPr="005367B6">
        <w:rPr>
          <w:rFonts w:ascii="Times New Roman" w:hAnsi="Times New Roman" w:cs="Times New Roman"/>
          <w:sz w:val="24"/>
          <w:szCs w:val="24"/>
        </w:rPr>
        <w:t>правление экономической политики всеми ГАБС в полном объеме, является достоверной и не возвращалась на доработку.</w:t>
      </w:r>
    </w:p>
    <w:p w:rsidR="00017AB4" w:rsidRPr="005367B6" w:rsidRDefault="00017AB4" w:rsidP="00017A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67B6">
        <w:rPr>
          <w:rFonts w:ascii="Times New Roman" w:hAnsi="Times New Roman" w:cs="Times New Roman"/>
          <w:sz w:val="24"/>
          <w:szCs w:val="24"/>
        </w:rPr>
        <w:t>Таким образом, средняя балльная оценка по показателю составила 100,0 баллов (в 201</w:t>
      </w:r>
      <w:r w:rsidR="00FA2A49" w:rsidRPr="005367B6">
        <w:rPr>
          <w:rFonts w:ascii="Times New Roman" w:hAnsi="Times New Roman" w:cs="Times New Roman"/>
          <w:sz w:val="24"/>
          <w:szCs w:val="24"/>
        </w:rPr>
        <w:t>5</w:t>
      </w:r>
      <w:r w:rsidRPr="005367B6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также 100,0 баллов).</w:t>
      </w:r>
    </w:p>
    <w:p w:rsidR="00D8189C" w:rsidRPr="002725E1" w:rsidRDefault="00D8189C" w:rsidP="00CE02E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5E1">
        <w:rPr>
          <w:rFonts w:ascii="Times New Roman" w:hAnsi="Times New Roman" w:cs="Times New Roman"/>
          <w:sz w:val="24"/>
          <w:szCs w:val="24"/>
        </w:rPr>
        <w:t>3) Показатель 1.3</w:t>
      </w:r>
      <w:r w:rsidR="00FA2A49" w:rsidRPr="002725E1">
        <w:rPr>
          <w:rFonts w:ascii="Times New Roman" w:hAnsi="Times New Roman" w:cs="Times New Roman"/>
          <w:sz w:val="24"/>
          <w:szCs w:val="24"/>
        </w:rPr>
        <w:t>.</w:t>
      </w:r>
      <w:r w:rsidRPr="002725E1">
        <w:rPr>
          <w:rFonts w:ascii="Times New Roman" w:hAnsi="Times New Roman" w:cs="Times New Roman"/>
          <w:sz w:val="24"/>
          <w:szCs w:val="24"/>
        </w:rPr>
        <w:t xml:space="preserve"> «Наличие и качество муниципальных правовых актов ГРБС, регулирующих внутренние бюджетные процедуры».</w:t>
      </w:r>
    </w:p>
    <w:p w:rsidR="00D8189C" w:rsidRPr="002725E1" w:rsidRDefault="00D8189C" w:rsidP="00A97CC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25E1">
        <w:rPr>
          <w:rFonts w:ascii="Times New Roman" w:hAnsi="Times New Roman" w:cs="Times New Roman"/>
          <w:sz w:val="24"/>
          <w:szCs w:val="24"/>
        </w:rPr>
        <w:t xml:space="preserve">Показатель характеризует наличие, своевременность разработки и соответствие требованиям бюджетного законодательства муниципальных правовых актов ГРБС, регулирующих все внутренние бюджетные процедуры. Качество финансового менеджмента напрямую зависит от качества подготовки муниципальных правовых актов, используемых в деятельности ГРБС для реализации соответствующих полномочий. Целевой показатель - </w:t>
      </w:r>
      <w:proofErr w:type="spellStart"/>
      <w:r w:rsidRPr="002725E1">
        <w:rPr>
          <w:rFonts w:ascii="Times New Roman" w:hAnsi="Times New Roman" w:cs="Times New Roman"/>
          <w:sz w:val="24"/>
          <w:szCs w:val="24"/>
        </w:rPr>
        <w:t>урегулированность</w:t>
      </w:r>
      <w:proofErr w:type="spellEnd"/>
      <w:r w:rsidRPr="002725E1">
        <w:rPr>
          <w:rFonts w:ascii="Times New Roman" w:hAnsi="Times New Roman" w:cs="Times New Roman"/>
          <w:sz w:val="24"/>
          <w:szCs w:val="24"/>
        </w:rPr>
        <w:t xml:space="preserve"> всех внутренних бюджетных процедур, осуществляемых ГРБС.</w:t>
      </w:r>
    </w:p>
    <w:p w:rsidR="006F47BC" w:rsidRPr="002725E1" w:rsidRDefault="006F47BC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725E1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2725E1" w:rsidRPr="002725E1">
        <w:rPr>
          <w:rFonts w:ascii="Times New Roman" w:hAnsi="Times New Roman" w:cs="Times New Roman"/>
          <w:sz w:val="24"/>
          <w:szCs w:val="24"/>
        </w:rPr>
        <w:t>16,4</w:t>
      </w:r>
      <w:r w:rsidRPr="002725E1">
        <w:rPr>
          <w:rFonts w:ascii="Times New Roman" w:hAnsi="Times New Roman" w:cs="Times New Roman"/>
          <w:sz w:val="24"/>
          <w:szCs w:val="24"/>
        </w:rPr>
        <w:t xml:space="preserve"> балла, что </w:t>
      </w:r>
      <w:r w:rsidR="002725E1" w:rsidRPr="002725E1">
        <w:rPr>
          <w:rFonts w:ascii="Times New Roman" w:hAnsi="Times New Roman" w:cs="Times New Roman"/>
          <w:sz w:val="24"/>
          <w:szCs w:val="24"/>
        </w:rPr>
        <w:t>ниже</w:t>
      </w:r>
      <w:r w:rsidRPr="002725E1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1712C9" w:rsidRPr="002725E1">
        <w:rPr>
          <w:rFonts w:ascii="Times New Roman" w:hAnsi="Times New Roman" w:cs="Times New Roman"/>
          <w:sz w:val="24"/>
          <w:szCs w:val="24"/>
        </w:rPr>
        <w:t>5</w:t>
      </w:r>
      <w:r w:rsidRPr="002725E1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2725E1" w:rsidRPr="002725E1">
        <w:rPr>
          <w:rFonts w:ascii="Times New Roman" w:hAnsi="Times New Roman" w:cs="Times New Roman"/>
          <w:sz w:val="24"/>
          <w:szCs w:val="24"/>
        </w:rPr>
        <w:t>10,9</w:t>
      </w:r>
      <w:r w:rsidRPr="002725E1">
        <w:rPr>
          <w:rFonts w:ascii="Times New Roman" w:hAnsi="Times New Roman" w:cs="Times New Roman"/>
          <w:sz w:val="24"/>
          <w:szCs w:val="24"/>
        </w:rPr>
        <w:t xml:space="preserve"> баллов (в 201</w:t>
      </w:r>
      <w:r w:rsidR="00537097" w:rsidRPr="002725E1">
        <w:rPr>
          <w:rFonts w:ascii="Times New Roman" w:hAnsi="Times New Roman" w:cs="Times New Roman"/>
          <w:sz w:val="24"/>
          <w:szCs w:val="24"/>
        </w:rPr>
        <w:t>5</w:t>
      </w:r>
      <w:r w:rsidRPr="002725E1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2</w:t>
      </w:r>
      <w:r w:rsidR="00537097" w:rsidRPr="002725E1">
        <w:rPr>
          <w:rFonts w:ascii="Times New Roman" w:hAnsi="Times New Roman" w:cs="Times New Roman"/>
          <w:sz w:val="24"/>
          <w:szCs w:val="24"/>
        </w:rPr>
        <w:t>7,3</w:t>
      </w:r>
      <w:r w:rsidRPr="002725E1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D8189C" w:rsidRPr="009A1A75" w:rsidRDefault="006F47BC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B93">
        <w:rPr>
          <w:rFonts w:ascii="Times New Roman" w:hAnsi="Times New Roman" w:cs="Times New Roman"/>
          <w:sz w:val="24"/>
          <w:szCs w:val="24"/>
        </w:rPr>
        <w:t xml:space="preserve">У </w:t>
      </w:r>
      <w:r w:rsidR="002725E1" w:rsidRPr="00A01B93">
        <w:rPr>
          <w:rFonts w:ascii="Times New Roman" w:hAnsi="Times New Roman" w:cs="Times New Roman"/>
          <w:sz w:val="24"/>
          <w:szCs w:val="24"/>
        </w:rPr>
        <w:t>6</w:t>
      </w:r>
      <w:r w:rsidRPr="00A01B93">
        <w:rPr>
          <w:rFonts w:ascii="Times New Roman" w:hAnsi="Times New Roman" w:cs="Times New Roman"/>
          <w:sz w:val="24"/>
          <w:szCs w:val="24"/>
        </w:rPr>
        <w:t xml:space="preserve"> ГРБС отсутствует план мероприятий по повышению эффективности расходования бюджетных средств (не урегулирована 1 внутренняя бюджетная процедура).</w:t>
      </w:r>
      <w:r w:rsidRPr="00DF440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B93">
        <w:rPr>
          <w:rFonts w:ascii="Times New Roman" w:hAnsi="Times New Roman" w:cs="Times New Roman"/>
          <w:color w:val="000000"/>
          <w:sz w:val="24"/>
          <w:szCs w:val="24"/>
        </w:rPr>
        <w:t>Кроме того</w:t>
      </w:r>
      <w:r w:rsidR="00A01B93" w:rsidRPr="00A01B93">
        <w:rPr>
          <w:rFonts w:ascii="Times New Roman" w:hAnsi="Times New Roman" w:cs="Times New Roman"/>
          <w:color w:val="000000"/>
          <w:sz w:val="24"/>
          <w:szCs w:val="24"/>
        </w:rPr>
        <w:t xml:space="preserve"> у 5 ГРБС</w:t>
      </w:r>
      <w:r w:rsidR="00A01B93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057BA5">
        <w:rPr>
          <w:rFonts w:ascii="Times New Roman" w:hAnsi="Times New Roman" w:cs="Times New Roman"/>
          <w:color w:val="000000"/>
          <w:sz w:val="24"/>
          <w:szCs w:val="24"/>
        </w:rPr>
        <w:t>МКУ «Централизованная бухгалтерия</w:t>
      </w:r>
      <w:r w:rsidR="0079359D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057BA5">
        <w:rPr>
          <w:rFonts w:ascii="Times New Roman" w:hAnsi="Times New Roman" w:cs="Times New Roman"/>
          <w:color w:val="000000"/>
          <w:sz w:val="24"/>
          <w:szCs w:val="24"/>
        </w:rPr>
        <w:t>, МКУ «Служба обеспечения органов местного самоуправления», Управление культуры, Управление социальной политики, Департамент муниципальной собственности и градостроительства)</w:t>
      </w:r>
      <w:r w:rsidR="00A01B93" w:rsidRPr="00A01B93">
        <w:rPr>
          <w:rFonts w:ascii="Times New Roman" w:hAnsi="Times New Roman" w:cs="Times New Roman"/>
          <w:color w:val="000000"/>
          <w:sz w:val="24"/>
          <w:szCs w:val="24"/>
        </w:rPr>
        <w:t xml:space="preserve"> имеются нарушения порядка составления, утверждения и ведения бюджетных смет</w:t>
      </w:r>
      <w:r w:rsidR="00057BA5">
        <w:rPr>
          <w:rFonts w:ascii="Times New Roman" w:hAnsi="Times New Roman" w:cs="Times New Roman"/>
          <w:color w:val="000000"/>
          <w:sz w:val="24"/>
          <w:szCs w:val="24"/>
        </w:rPr>
        <w:t>, данные ГРБС имеют оценку 0 баллов</w:t>
      </w:r>
      <w:r w:rsidR="00A01B93" w:rsidRPr="00A01B9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D8189C" w:rsidRPr="009E0ABF" w:rsidRDefault="00D8189C" w:rsidP="00E1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E0ABF">
        <w:rPr>
          <w:rFonts w:ascii="Times New Roman" w:hAnsi="Times New Roman" w:cs="Times New Roman"/>
          <w:sz w:val="24"/>
          <w:szCs w:val="24"/>
        </w:rPr>
        <w:t>4) Показатель</w:t>
      </w:r>
      <w:r w:rsidR="008A7498" w:rsidRPr="009E0ABF">
        <w:rPr>
          <w:rFonts w:ascii="Times New Roman" w:hAnsi="Times New Roman" w:cs="Times New Roman"/>
          <w:sz w:val="24"/>
          <w:szCs w:val="24"/>
        </w:rPr>
        <w:t xml:space="preserve"> </w:t>
      </w:r>
      <w:r w:rsidRPr="009E0ABF">
        <w:rPr>
          <w:rFonts w:ascii="Times New Roman" w:hAnsi="Times New Roman" w:cs="Times New Roman"/>
          <w:sz w:val="24"/>
          <w:szCs w:val="24"/>
        </w:rPr>
        <w:t>1.4</w:t>
      </w:r>
      <w:r w:rsidR="001A3848" w:rsidRPr="009E0ABF">
        <w:rPr>
          <w:rFonts w:ascii="Times New Roman" w:hAnsi="Times New Roman" w:cs="Times New Roman"/>
          <w:sz w:val="24"/>
          <w:szCs w:val="24"/>
        </w:rPr>
        <w:t>.</w:t>
      </w:r>
      <w:r w:rsidRPr="009E0ABF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ГАБС в департамент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8189C" w:rsidRPr="009E0ABF" w:rsidRDefault="00EF5ADA" w:rsidP="00E1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E0ABF">
        <w:rPr>
          <w:rFonts w:ascii="Times New Roman" w:hAnsi="Times New Roman" w:cs="Times New Roman"/>
          <w:sz w:val="24"/>
          <w:szCs w:val="24"/>
        </w:rPr>
        <w:t>Показатель характеризует</w:t>
      </w:r>
      <w:r w:rsidR="00D8189C" w:rsidRPr="009E0ABF">
        <w:rPr>
          <w:rFonts w:ascii="Times New Roman" w:hAnsi="Times New Roman" w:cs="Times New Roman"/>
          <w:sz w:val="24"/>
          <w:szCs w:val="24"/>
        </w:rPr>
        <w:t xml:space="preserve"> соблюдение ГАБС сроков представления в департамент финансов документов и материалов, необходимых для составления проекта бюджета города в соответствии с Графиком</w:t>
      </w:r>
      <w:r w:rsidR="00CB6B71" w:rsidRPr="009E0ABF">
        <w:rPr>
          <w:rFonts w:ascii="Times New Roman" w:hAnsi="Times New Roman" w:cs="Times New Roman"/>
          <w:sz w:val="24"/>
          <w:szCs w:val="24"/>
        </w:rPr>
        <w:t>,</w:t>
      </w:r>
      <w:r w:rsidR="00D8189C" w:rsidRPr="009E0ABF">
        <w:rPr>
          <w:rFonts w:ascii="Times New Roman" w:hAnsi="Times New Roman" w:cs="Times New Roman"/>
          <w:sz w:val="24"/>
          <w:szCs w:val="24"/>
        </w:rPr>
        <w:t xml:space="preserve"> утвержденным постановлением администрации города Югорска от 12.08.2014 №</w:t>
      </w:r>
      <w:r w:rsidR="00E7105F" w:rsidRPr="009E0ABF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9E0ABF">
        <w:rPr>
          <w:rFonts w:ascii="Times New Roman" w:hAnsi="Times New Roman" w:cs="Times New Roman"/>
          <w:sz w:val="24"/>
          <w:szCs w:val="24"/>
        </w:rPr>
        <w:t>4104 «</w:t>
      </w:r>
      <w:r w:rsidR="00D8189C" w:rsidRPr="009E0ABF">
        <w:rPr>
          <w:rFonts w:ascii="Times New Roman" w:hAnsi="Times New Roman" w:cs="Times New Roman"/>
          <w:bCs/>
          <w:sz w:val="24"/>
          <w:szCs w:val="24"/>
        </w:rPr>
        <w:t xml:space="preserve">О порядке составления проекта </w:t>
      </w:r>
      <w:r w:rsidR="00D8189C" w:rsidRPr="009E0ABF">
        <w:rPr>
          <w:rFonts w:ascii="Times New Roman" w:hAnsi="Times New Roman" w:cs="Times New Roman"/>
          <w:sz w:val="24"/>
          <w:szCs w:val="24"/>
        </w:rPr>
        <w:t>решения о бюджете города Югорска на очередной финансовый год и плановый период»</w:t>
      </w:r>
      <w:r w:rsidR="00E7105F" w:rsidRPr="009E0ABF">
        <w:rPr>
          <w:rFonts w:ascii="Times New Roman" w:hAnsi="Times New Roman" w:cs="Times New Roman"/>
          <w:sz w:val="24"/>
          <w:szCs w:val="24"/>
        </w:rPr>
        <w:t xml:space="preserve"> (с изменениями </w:t>
      </w:r>
      <w:r w:rsidR="00431531" w:rsidRPr="009E0ABF">
        <w:rPr>
          <w:rFonts w:ascii="Times New Roman" w:hAnsi="Times New Roman" w:cs="Times New Roman"/>
          <w:sz w:val="24"/>
          <w:szCs w:val="24"/>
        </w:rPr>
        <w:t>от 09.12.2014 № 6859, от</w:t>
      </w:r>
      <w:r w:rsidR="00E7105F" w:rsidRPr="009E0ABF">
        <w:rPr>
          <w:rFonts w:ascii="Times New Roman" w:hAnsi="Times New Roman" w:cs="Times New Roman"/>
          <w:sz w:val="24"/>
          <w:szCs w:val="24"/>
        </w:rPr>
        <w:t xml:space="preserve"> 12.11.2015 № 3350</w:t>
      </w:r>
      <w:r w:rsidR="00431531" w:rsidRPr="009E0ABF">
        <w:rPr>
          <w:rFonts w:ascii="Times New Roman" w:hAnsi="Times New Roman" w:cs="Times New Roman"/>
          <w:sz w:val="24"/>
          <w:szCs w:val="24"/>
        </w:rPr>
        <w:t>, от 26.05.2016 № 1154, от 01.11.2016 № 2658</w:t>
      </w:r>
      <w:r w:rsidR="00E7105F" w:rsidRPr="009E0ABF">
        <w:rPr>
          <w:rFonts w:ascii="Times New Roman" w:hAnsi="Times New Roman" w:cs="Times New Roman"/>
          <w:sz w:val="24"/>
          <w:szCs w:val="24"/>
        </w:rPr>
        <w:t>)</w:t>
      </w:r>
      <w:r w:rsidR="00D8189C" w:rsidRPr="009E0AB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B6B71" w:rsidRPr="009E0ABF" w:rsidRDefault="0079359D" w:rsidP="00E1361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Средняя оценка по показателю в 2016 году составила 9,1 баллов, что выше уровня 2015 года на 9,1 баллов (в 2015 году средняя оценка по показателю составила 0 баллов). </w:t>
      </w:r>
      <w:r w:rsidR="00E74F22">
        <w:rPr>
          <w:rFonts w:ascii="Times New Roman" w:hAnsi="Times New Roman" w:cs="Times New Roman"/>
          <w:sz w:val="24"/>
          <w:szCs w:val="24"/>
        </w:rPr>
        <w:t>В 2016 году о</w:t>
      </w:r>
      <w:r w:rsidR="009E0ABF" w:rsidRPr="009E0ABF">
        <w:rPr>
          <w:rFonts w:ascii="Times New Roman" w:hAnsi="Times New Roman" w:cs="Times New Roman"/>
          <w:sz w:val="24"/>
          <w:szCs w:val="24"/>
        </w:rPr>
        <w:t>ценк</w:t>
      </w:r>
      <w:r w:rsidR="00E74F22">
        <w:rPr>
          <w:rFonts w:ascii="Times New Roman" w:hAnsi="Times New Roman" w:cs="Times New Roman"/>
          <w:sz w:val="24"/>
          <w:szCs w:val="24"/>
        </w:rPr>
        <w:t>у</w:t>
      </w:r>
      <w:r w:rsidR="009E0ABF" w:rsidRPr="009E0ABF">
        <w:rPr>
          <w:rFonts w:ascii="Times New Roman" w:hAnsi="Times New Roman" w:cs="Times New Roman"/>
          <w:sz w:val="24"/>
          <w:szCs w:val="24"/>
        </w:rPr>
        <w:t xml:space="preserve"> по данному показателю 100 баллов </w:t>
      </w:r>
      <w:r w:rsidR="00E74F22">
        <w:rPr>
          <w:rFonts w:ascii="Times New Roman" w:hAnsi="Times New Roman" w:cs="Times New Roman"/>
          <w:sz w:val="24"/>
          <w:szCs w:val="24"/>
        </w:rPr>
        <w:t xml:space="preserve">получил </w:t>
      </w:r>
      <w:r w:rsidR="009E0ABF" w:rsidRPr="009E0ABF">
        <w:rPr>
          <w:rFonts w:ascii="Times New Roman" w:hAnsi="Times New Roman" w:cs="Times New Roman"/>
          <w:sz w:val="24"/>
          <w:szCs w:val="24"/>
        </w:rPr>
        <w:t xml:space="preserve"> Департамент финансов. Остальные</w:t>
      </w:r>
      <w:r w:rsidR="00CB6B71" w:rsidRPr="009E0ABF">
        <w:rPr>
          <w:rFonts w:ascii="Times New Roman" w:hAnsi="Times New Roman" w:cs="Times New Roman"/>
          <w:sz w:val="24"/>
          <w:szCs w:val="24"/>
        </w:rPr>
        <w:t xml:space="preserve"> ГАБС необходимые для составления проекта бюджета города на 201</w:t>
      </w:r>
      <w:r w:rsidR="0028343A" w:rsidRPr="009E0ABF">
        <w:rPr>
          <w:rFonts w:ascii="Times New Roman" w:hAnsi="Times New Roman" w:cs="Times New Roman"/>
          <w:sz w:val="24"/>
          <w:szCs w:val="24"/>
        </w:rPr>
        <w:t>7</w:t>
      </w:r>
      <w:r w:rsidR="00CB6B71" w:rsidRPr="009E0ABF">
        <w:rPr>
          <w:rFonts w:ascii="Times New Roman" w:hAnsi="Times New Roman" w:cs="Times New Roman"/>
          <w:sz w:val="24"/>
          <w:szCs w:val="24"/>
        </w:rPr>
        <w:t xml:space="preserve"> год</w:t>
      </w:r>
      <w:r w:rsidR="0028343A" w:rsidRPr="009E0ABF">
        <w:rPr>
          <w:rFonts w:ascii="Times New Roman" w:hAnsi="Times New Roman" w:cs="Times New Roman"/>
          <w:sz w:val="24"/>
          <w:szCs w:val="24"/>
        </w:rPr>
        <w:t xml:space="preserve"> и на плановый период 2018 и 2</w:t>
      </w:r>
      <w:r w:rsidR="00C13E2C">
        <w:rPr>
          <w:rFonts w:ascii="Times New Roman" w:hAnsi="Times New Roman" w:cs="Times New Roman"/>
          <w:sz w:val="24"/>
          <w:szCs w:val="24"/>
        </w:rPr>
        <w:t>01</w:t>
      </w:r>
      <w:r w:rsidR="0028343A" w:rsidRPr="009E0ABF">
        <w:rPr>
          <w:rFonts w:ascii="Times New Roman" w:hAnsi="Times New Roman" w:cs="Times New Roman"/>
          <w:sz w:val="24"/>
          <w:szCs w:val="24"/>
        </w:rPr>
        <w:t>9 годов</w:t>
      </w:r>
      <w:r w:rsidR="00CB6B71" w:rsidRPr="009E0ABF">
        <w:rPr>
          <w:rFonts w:ascii="Times New Roman" w:hAnsi="Times New Roman" w:cs="Times New Roman"/>
          <w:sz w:val="24"/>
          <w:szCs w:val="24"/>
        </w:rPr>
        <w:t xml:space="preserve"> документы и материалы в полном объеме не представил</w:t>
      </w:r>
      <w:r w:rsidR="009E0ABF" w:rsidRPr="009E0ABF">
        <w:rPr>
          <w:rFonts w:ascii="Times New Roman" w:hAnsi="Times New Roman" w:cs="Times New Roman"/>
          <w:sz w:val="24"/>
          <w:szCs w:val="24"/>
        </w:rPr>
        <w:t>и</w:t>
      </w:r>
      <w:r w:rsidR="00CB6B71" w:rsidRPr="009E0ABF">
        <w:rPr>
          <w:rFonts w:ascii="Times New Roman" w:hAnsi="Times New Roman" w:cs="Times New Roman"/>
          <w:sz w:val="24"/>
          <w:szCs w:val="24"/>
        </w:rPr>
        <w:t xml:space="preserve"> в установленные сроки. По </w:t>
      </w:r>
      <w:r w:rsidR="00E74F22">
        <w:rPr>
          <w:rFonts w:ascii="Times New Roman" w:hAnsi="Times New Roman" w:cs="Times New Roman"/>
          <w:sz w:val="24"/>
          <w:szCs w:val="24"/>
        </w:rPr>
        <w:t>остальным</w:t>
      </w:r>
      <w:r w:rsidR="00CB6B71" w:rsidRPr="009E0ABF">
        <w:rPr>
          <w:rFonts w:ascii="Times New Roman" w:hAnsi="Times New Roman" w:cs="Times New Roman"/>
          <w:sz w:val="24"/>
          <w:szCs w:val="24"/>
        </w:rPr>
        <w:t xml:space="preserve"> 1</w:t>
      </w:r>
      <w:r w:rsidR="009E0ABF" w:rsidRPr="009E0ABF">
        <w:rPr>
          <w:rFonts w:ascii="Times New Roman" w:hAnsi="Times New Roman" w:cs="Times New Roman"/>
          <w:sz w:val="24"/>
          <w:szCs w:val="24"/>
        </w:rPr>
        <w:t>0</w:t>
      </w:r>
      <w:r w:rsidR="00CB6B71" w:rsidRPr="009E0ABF">
        <w:rPr>
          <w:rFonts w:ascii="Times New Roman" w:hAnsi="Times New Roman" w:cs="Times New Roman"/>
          <w:sz w:val="24"/>
          <w:szCs w:val="24"/>
        </w:rPr>
        <w:t xml:space="preserve"> ГАБС</w:t>
      </w:r>
      <w:r w:rsidR="009E0ABF" w:rsidRPr="009E0ABF">
        <w:rPr>
          <w:rFonts w:ascii="Times New Roman" w:hAnsi="Times New Roman" w:cs="Times New Roman"/>
          <w:sz w:val="24"/>
          <w:szCs w:val="24"/>
        </w:rPr>
        <w:t xml:space="preserve"> и</w:t>
      </w:r>
      <w:r w:rsidR="00B15D7A">
        <w:rPr>
          <w:rFonts w:ascii="Times New Roman" w:hAnsi="Times New Roman" w:cs="Times New Roman"/>
          <w:sz w:val="24"/>
          <w:szCs w:val="24"/>
        </w:rPr>
        <w:t>з</w:t>
      </w:r>
      <w:r w:rsidR="009E0ABF" w:rsidRPr="009E0ABF">
        <w:rPr>
          <w:rFonts w:ascii="Times New Roman" w:hAnsi="Times New Roman" w:cs="Times New Roman"/>
          <w:sz w:val="24"/>
          <w:szCs w:val="24"/>
        </w:rPr>
        <w:t xml:space="preserve"> 11</w:t>
      </w:r>
      <w:r w:rsidR="00CB6B71" w:rsidRPr="009E0ABF">
        <w:rPr>
          <w:rFonts w:ascii="Times New Roman" w:hAnsi="Times New Roman" w:cs="Times New Roman"/>
          <w:sz w:val="24"/>
          <w:szCs w:val="24"/>
        </w:rPr>
        <w:t xml:space="preserve"> оценка по данному показателю составила 0 баллов</w:t>
      </w:r>
      <w:r w:rsidR="009E0ABF" w:rsidRPr="009E0ABF">
        <w:rPr>
          <w:rFonts w:ascii="Times New Roman" w:hAnsi="Times New Roman" w:cs="Times New Roman"/>
          <w:sz w:val="24"/>
          <w:szCs w:val="24"/>
        </w:rPr>
        <w:t>.</w:t>
      </w:r>
      <w:r w:rsidR="00CB6B71" w:rsidRPr="009E0A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9C" w:rsidRPr="00B15D7A" w:rsidRDefault="00D8189C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D7A">
        <w:rPr>
          <w:rFonts w:ascii="Times New Roman" w:hAnsi="Times New Roman" w:cs="Times New Roman"/>
          <w:sz w:val="24"/>
          <w:szCs w:val="24"/>
        </w:rPr>
        <w:t>5) Показатель 1.5</w:t>
      </w:r>
      <w:r w:rsidR="00273675" w:rsidRPr="00B15D7A">
        <w:rPr>
          <w:rFonts w:ascii="Times New Roman" w:hAnsi="Times New Roman" w:cs="Times New Roman"/>
          <w:sz w:val="24"/>
          <w:szCs w:val="24"/>
        </w:rPr>
        <w:t>.</w:t>
      </w:r>
      <w:r w:rsidRPr="00B15D7A">
        <w:rPr>
          <w:rFonts w:ascii="Times New Roman" w:hAnsi="Times New Roman" w:cs="Times New Roman"/>
          <w:sz w:val="24"/>
          <w:szCs w:val="24"/>
        </w:rPr>
        <w:t xml:space="preserve"> «Качество представления ГАБС в департамент финансов документов и материалов, необходимых для составления проекта бюджета города, в соответствии с утвержденным Графиком».</w:t>
      </w:r>
    </w:p>
    <w:p w:rsidR="00D8189C" w:rsidRPr="00B15D7A" w:rsidRDefault="00D8189C" w:rsidP="00A77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15D7A">
        <w:rPr>
          <w:rFonts w:ascii="Times New Roman" w:hAnsi="Times New Roman" w:cs="Times New Roman"/>
          <w:sz w:val="24"/>
          <w:szCs w:val="24"/>
        </w:rPr>
        <w:t xml:space="preserve">Значение данного показателя определено </w:t>
      </w:r>
      <w:r w:rsidR="00415990" w:rsidRPr="00B15D7A">
        <w:rPr>
          <w:rFonts w:ascii="Times New Roman" w:hAnsi="Times New Roman" w:cs="Times New Roman"/>
          <w:sz w:val="24"/>
          <w:szCs w:val="24"/>
        </w:rPr>
        <w:t xml:space="preserve">как доля количества </w:t>
      </w:r>
      <w:r w:rsidRPr="00B15D7A">
        <w:rPr>
          <w:rFonts w:ascii="Times New Roman" w:hAnsi="Times New Roman" w:cs="Times New Roman"/>
          <w:sz w:val="24"/>
          <w:szCs w:val="24"/>
        </w:rPr>
        <w:t>документов и материалов, представленных в департамент финансов, соответствующих критериям качества составления и достоверности содержащейся в ней информации и не отправленных на доработку</w:t>
      </w:r>
      <w:r w:rsidR="00415990" w:rsidRPr="00B15D7A">
        <w:rPr>
          <w:rFonts w:ascii="Times New Roman" w:hAnsi="Times New Roman" w:cs="Times New Roman"/>
          <w:sz w:val="24"/>
          <w:szCs w:val="24"/>
        </w:rPr>
        <w:t>, к общему количеству документов и материалов, необходимых для составления проекта бюджета города, в соответствии с утвержденным Графиком</w:t>
      </w:r>
      <w:r w:rsidRPr="00B15D7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15990" w:rsidRPr="00B15D7A" w:rsidRDefault="00415990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15D7A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B15D7A" w:rsidRPr="00B15D7A">
        <w:rPr>
          <w:rFonts w:ascii="Times New Roman" w:hAnsi="Times New Roman" w:cs="Times New Roman"/>
          <w:sz w:val="24"/>
          <w:szCs w:val="24"/>
        </w:rPr>
        <w:t>62,6</w:t>
      </w:r>
      <w:r w:rsidRPr="00B15D7A">
        <w:rPr>
          <w:rFonts w:ascii="Times New Roman" w:hAnsi="Times New Roman" w:cs="Times New Roman"/>
          <w:sz w:val="24"/>
          <w:szCs w:val="24"/>
        </w:rPr>
        <w:t xml:space="preserve"> балла, что выше уровня за 201</w:t>
      </w:r>
      <w:r w:rsidR="00E94C45" w:rsidRPr="00B15D7A">
        <w:rPr>
          <w:rFonts w:ascii="Times New Roman" w:hAnsi="Times New Roman" w:cs="Times New Roman"/>
          <w:sz w:val="24"/>
          <w:szCs w:val="24"/>
        </w:rPr>
        <w:t>5</w:t>
      </w:r>
      <w:r w:rsidRPr="00B15D7A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B15D7A" w:rsidRPr="00B15D7A">
        <w:rPr>
          <w:rFonts w:ascii="Times New Roman" w:hAnsi="Times New Roman" w:cs="Times New Roman"/>
          <w:sz w:val="24"/>
          <w:szCs w:val="24"/>
        </w:rPr>
        <w:t>34,0</w:t>
      </w:r>
      <w:r w:rsidRPr="00B15D7A">
        <w:rPr>
          <w:rFonts w:ascii="Times New Roman" w:hAnsi="Times New Roman" w:cs="Times New Roman"/>
          <w:sz w:val="24"/>
          <w:szCs w:val="24"/>
        </w:rPr>
        <w:t xml:space="preserve"> баллов или на </w:t>
      </w:r>
      <w:r w:rsidR="00B15D7A" w:rsidRPr="00B15D7A">
        <w:rPr>
          <w:rFonts w:ascii="Times New Roman" w:hAnsi="Times New Roman" w:cs="Times New Roman"/>
          <w:sz w:val="24"/>
          <w:szCs w:val="24"/>
        </w:rPr>
        <w:t>218,9</w:t>
      </w:r>
      <w:r w:rsidRPr="00B15D7A">
        <w:rPr>
          <w:rFonts w:ascii="Times New Roman" w:hAnsi="Times New Roman" w:cs="Times New Roman"/>
          <w:sz w:val="24"/>
          <w:szCs w:val="24"/>
        </w:rPr>
        <w:t>% (в 201</w:t>
      </w:r>
      <w:r w:rsidR="00E94C45" w:rsidRPr="00B15D7A">
        <w:rPr>
          <w:rFonts w:ascii="Times New Roman" w:hAnsi="Times New Roman" w:cs="Times New Roman"/>
          <w:sz w:val="24"/>
          <w:szCs w:val="24"/>
        </w:rPr>
        <w:t>5</w:t>
      </w:r>
      <w:r w:rsidRPr="00B15D7A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2</w:t>
      </w:r>
      <w:r w:rsidR="00E94C45" w:rsidRPr="00B15D7A">
        <w:rPr>
          <w:rFonts w:ascii="Times New Roman" w:hAnsi="Times New Roman" w:cs="Times New Roman"/>
          <w:sz w:val="24"/>
          <w:szCs w:val="24"/>
        </w:rPr>
        <w:t>8,6</w:t>
      </w:r>
      <w:r w:rsidRPr="00B15D7A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415990" w:rsidRPr="00702CFA" w:rsidRDefault="00D8189C" w:rsidP="00A7762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lastRenderedPageBreak/>
        <w:t xml:space="preserve">Значение </w:t>
      </w:r>
      <w:r w:rsidR="00415990" w:rsidRPr="00702CFA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702CFA">
        <w:rPr>
          <w:rFonts w:ascii="Times New Roman" w:hAnsi="Times New Roman" w:cs="Times New Roman"/>
          <w:sz w:val="24"/>
          <w:szCs w:val="24"/>
        </w:rPr>
        <w:t xml:space="preserve">показателя 100,0 баллов </w:t>
      </w:r>
      <w:r w:rsidR="00415990" w:rsidRPr="00702CFA">
        <w:rPr>
          <w:rFonts w:ascii="Times New Roman" w:hAnsi="Times New Roman" w:cs="Times New Roman"/>
          <w:sz w:val="24"/>
          <w:szCs w:val="24"/>
        </w:rPr>
        <w:t>присвоено</w:t>
      </w:r>
      <w:r w:rsidRPr="00702CFA">
        <w:rPr>
          <w:rFonts w:ascii="Times New Roman" w:hAnsi="Times New Roman" w:cs="Times New Roman"/>
          <w:sz w:val="24"/>
          <w:szCs w:val="24"/>
        </w:rPr>
        <w:t xml:space="preserve"> Департамент</w:t>
      </w:r>
      <w:r w:rsidR="00415990" w:rsidRPr="00702CFA">
        <w:rPr>
          <w:rFonts w:ascii="Times New Roman" w:hAnsi="Times New Roman" w:cs="Times New Roman"/>
          <w:sz w:val="24"/>
          <w:szCs w:val="24"/>
        </w:rPr>
        <w:t>у</w:t>
      </w:r>
      <w:r w:rsidRPr="00702CFA">
        <w:rPr>
          <w:rFonts w:ascii="Times New Roman" w:hAnsi="Times New Roman" w:cs="Times New Roman"/>
          <w:sz w:val="24"/>
          <w:szCs w:val="24"/>
        </w:rPr>
        <w:t xml:space="preserve"> финансов</w:t>
      </w:r>
      <w:r w:rsidR="00B15D7A" w:rsidRPr="00702CFA">
        <w:rPr>
          <w:rFonts w:ascii="Times New Roman" w:hAnsi="Times New Roman" w:cs="Times New Roman"/>
          <w:sz w:val="24"/>
          <w:szCs w:val="24"/>
        </w:rPr>
        <w:t xml:space="preserve">, </w:t>
      </w:r>
      <w:r w:rsidR="00415990" w:rsidRPr="00702CFA">
        <w:rPr>
          <w:rFonts w:ascii="Times New Roman" w:hAnsi="Times New Roman" w:cs="Times New Roman"/>
          <w:sz w:val="24"/>
          <w:szCs w:val="24"/>
        </w:rPr>
        <w:t>документы и материалы</w:t>
      </w:r>
      <w:r w:rsidR="0013453D" w:rsidRPr="00702CFA">
        <w:rPr>
          <w:rFonts w:ascii="Times New Roman" w:hAnsi="Times New Roman" w:cs="Times New Roman"/>
          <w:sz w:val="24"/>
          <w:szCs w:val="24"/>
        </w:rPr>
        <w:t xml:space="preserve"> которого</w:t>
      </w:r>
      <w:r w:rsidR="00415990" w:rsidRPr="00702CFA">
        <w:rPr>
          <w:rFonts w:ascii="Times New Roman" w:hAnsi="Times New Roman" w:cs="Times New Roman"/>
          <w:sz w:val="24"/>
          <w:szCs w:val="24"/>
        </w:rPr>
        <w:t xml:space="preserve"> подготовлены качественно и не отправлены на доработку. </w:t>
      </w:r>
      <w:r w:rsidR="0013453D" w:rsidRPr="00702CF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3453D" w:rsidRPr="00702CFA">
        <w:rPr>
          <w:rFonts w:ascii="Times New Roman" w:hAnsi="Times New Roman" w:cs="Times New Roman"/>
          <w:sz w:val="24"/>
          <w:szCs w:val="24"/>
        </w:rPr>
        <w:t>Оценку выше среднего значения  имеют 4 ГАБС (Управление экономической политики (в отношении МАУ «Многофункциональный центр предоставления государственных и муниципальных услуг» - 78,6,</w:t>
      </w:r>
      <w:r w:rsidR="00702CFA" w:rsidRPr="00702CFA">
        <w:rPr>
          <w:rFonts w:ascii="Times New Roman" w:hAnsi="Times New Roman" w:cs="Times New Roman"/>
          <w:sz w:val="24"/>
          <w:szCs w:val="24"/>
        </w:rPr>
        <w:t xml:space="preserve"> Департамент муниципальной собственности и градостроительства – 68,4, Администрация города Югорска – 66,7, Департамент </w:t>
      </w:r>
      <w:proofErr w:type="spellStart"/>
      <w:r w:rsidR="00702CFA" w:rsidRPr="00702CFA">
        <w:rPr>
          <w:rFonts w:ascii="Times New Roman" w:hAnsi="Times New Roman" w:cs="Times New Roman"/>
          <w:sz w:val="24"/>
          <w:szCs w:val="24"/>
        </w:rPr>
        <w:t>жилищно</w:t>
      </w:r>
      <w:proofErr w:type="spellEnd"/>
      <w:r w:rsidR="00702CFA" w:rsidRPr="00702CFA">
        <w:rPr>
          <w:rFonts w:ascii="Times New Roman" w:hAnsi="Times New Roman" w:cs="Times New Roman"/>
          <w:sz w:val="24"/>
          <w:szCs w:val="24"/>
        </w:rPr>
        <w:t xml:space="preserve"> – коммунального и строительного комплекса – 64,3).</w:t>
      </w:r>
      <w:proofErr w:type="gramEnd"/>
      <w:r w:rsidR="00702CFA" w:rsidRPr="00702CFA">
        <w:rPr>
          <w:rFonts w:ascii="Times New Roman" w:hAnsi="Times New Roman" w:cs="Times New Roman"/>
          <w:sz w:val="24"/>
          <w:szCs w:val="24"/>
        </w:rPr>
        <w:t xml:space="preserve"> </w:t>
      </w:r>
      <w:r w:rsidRPr="00702CFA">
        <w:rPr>
          <w:rFonts w:ascii="Times New Roman" w:hAnsi="Times New Roman" w:cs="Times New Roman"/>
          <w:sz w:val="24"/>
          <w:szCs w:val="24"/>
        </w:rPr>
        <w:t xml:space="preserve">Оценка показателя </w:t>
      </w:r>
      <w:r w:rsidR="00415990" w:rsidRPr="00702CFA">
        <w:rPr>
          <w:rFonts w:ascii="Times New Roman" w:hAnsi="Times New Roman" w:cs="Times New Roman"/>
          <w:sz w:val="24"/>
          <w:szCs w:val="24"/>
        </w:rPr>
        <w:t>у остальных ГАБС ниже среднего значения.</w:t>
      </w:r>
    </w:p>
    <w:p w:rsidR="00D8189C" w:rsidRPr="00702CFA" w:rsidRDefault="00415990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 xml:space="preserve">Наихудшее значение – у Управления социальной политики – </w:t>
      </w:r>
      <w:r w:rsidR="00702CFA" w:rsidRPr="00702CFA">
        <w:rPr>
          <w:rFonts w:ascii="Times New Roman" w:hAnsi="Times New Roman" w:cs="Times New Roman"/>
          <w:sz w:val="24"/>
          <w:szCs w:val="24"/>
        </w:rPr>
        <w:t>38,9</w:t>
      </w:r>
      <w:r w:rsidRPr="00702CFA">
        <w:rPr>
          <w:rFonts w:ascii="Times New Roman" w:hAnsi="Times New Roman" w:cs="Times New Roman"/>
          <w:sz w:val="24"/>
          <w:szCs w:val="24"/>
        </w:rPr>
        <w:t xml:space="preserve"> балл</w:t>
      </w:r>
      <w:r w:rsidR="00C13E2C">
        <w:rPr>
          <w:rFonts w:ascii="Times New Roman" w:hAnsi="Times New Roman" w:cs="Times New Roman"/>
          <w:sz w:val="24"/>
          <w:szCs w:val="24"/>
        </w:rPr>
        <w:t>ов</w:t>
      </w:r>
      <w:r w:rsidRPr="00702CFA">
        <w:rPr>
          <w:rFonts w:ascii="Times New Roman" w:hAnsi="Times New Roman" w:cs="Times New Roman"/>
          <w:sz w:val="24"/>
          <w:szCs w:val="24"/>
        </w:rPr>
        <w:t xml:space="preserve"> (менее </w:t>
      </w:r>
      <w:r w:rsidR="00702CFA" w:rsidRPr="00702CFA">
        <w:rPr>
          <w:rFonts w:ascii="Times New Roman" w:hAnsi="Times New Roman" w:cs="Times New Roman"/>
          <w:sz w:val="24"/>
          <w:szCs w:val="24"/>
        </w:rPr>
        <w:t>40</w:t>
      </w:r>
      <w:r w:rsidRPr="00702CFA">
        <w:rPr>
          <w:rFonts w:ascii="Times New Roman" w:hAnsi="Times New Roman" w:cs="Times New Roman"/>
          <w:sz w:val="24"/>
          <w:szCs w:val="24"/>
        </w:rPr>
        <w:t>% от общего количества документов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 и материал</w:t>
      </w:r>
      <w:r w:rsidRPr="00702CFA">
        <w:rPr>
          <w:rFonts w:ascii="Times New Roman" w:hAnsi="Times New Roman" w:cs="Times New Roman"/>
          <w:sz w:val="24"/>
          <w:szCs w:val="24"/>
        </w:rPr>
        <w:t>ов</w:t>
      </w:r>
      <w:r w:rsidR="00D8189C" w:rsidRPr="00702CFA">
        <w:rPr>
          <w:rFonts w:ascii="Times New Roman" w:hAnsi="Times New Roman" w:cs="Times New Roman"/>
          <w:sz w:val="24"/>
          <w:szCs w:val="24"/>
        </w:rPr>
        <w:t>, представленны</w:t>
      </w:r>
      <w:r w:rsidRPr="00702CFA">
        <w:rPr>
          <w:rFonts w:ascii="Times New Roman" w:hAnsi="Times New Roman" w:cs="Times New Roman"/>
          <w:sz w:val="24"/>
          <w:szCs w:val="24"/>
        </w:rPr>
        <w:t>х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 в </w:t>
      </w:r>
      <w:r w:rsidR="00E65616" w:rsidRPr="00702CFA">
        <w:rPr>
          <w:rFonts w:ascii="Times New Roman" w:hAnsi="Times New Roman" w:cs="Times New Roman"/>
          <w:sz w:val="24"/>
          <w:szCs w:val="24"/>
        </w:rPr>
        <w:t>Д</w:t>
      </w:r>
      <w:r w:rsidR="00D8189C" w:rsidRPr="00702CFA">
        <w:rPr>
          <w:rFonts w:ascii="Times New Roman" w:hAnsi="Times New Roman" w:cs="Times New Roman"/>
          <w:sz w:val="24"/>
          <w:szCs w:val="24"/>
        </w:rPr>
        <w:t>епартамент финансов, не соответствуют критериям качества составления и достоверности содержащей</w:t>
      </w:r>
      <w:r w:rsidRPr="00702CFA">
        <w:rPr>
          <w:rFonts w:ascii="Times New Roman" w:hAnsi="Times New Roman" w:cs="Times New Roman"/>
          <w:sz w:val="24"/>
          <w:szCs w:val="24"/>
        </w:rPr>
        <w:t>ся в ней информации и отправлен</w:t>
      </w:r>
      <w:r w:rsidR="00D8189C" w:rsidRPr="00702CFA">
        <w:rPr>
          <w:rFonts w:ascii="Times New Roman" w:hAnsi="Times New Roman" w:cs="Times New Roman"/>
          <w:sz w:val="24"/>
          <w:szCs w:val="24"/>
        </w:rPr>
        <w:t>ы на доработку</w:t>
      </w:r>
      <w:r w:rsidRPr="00702CFA">
        <w:rPr>
          <w:rFonts w:ascii="Times New Roman" w:hAnsi="Times New Roman" w:cs="Times New Roman"/>
          <w:sz w:val="24"/>
          <w:szCs w:val="24"/>
        </w:rPr>
        <w:t>)</w:t>
      </w:r>
      <w:r w:rsidR="00D8189C" w:rsidRPr="00702CFA">
        <w:rPr>
          <w:rFonts w:ascii="Times New Roman" w:hAnsi="Times New Roman" w:cs="Times New Roman"/>
          <w:sz w:val="24"/>
          <w:szCs w:val="24"/>
        </w:rPr>
        <w:t>.</w:t>
      </w:r>
    </w:p>
    <w:p w:rsidR="00D8189C" w:rsidRPr="00702CFA" w:rsidRDefault="00D8189C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>6) Показатель 1.6</w:t>
      </w:r>
      <w:r w:rsidR="00D96DA5" w:rsidRPr="00702CFA">
        <w:rPr>
          <w:rFonts w:ascii="Times New Roman" w:hAnsi="Times New Roman" w:cs="Times New Roman"/>
          <w:sz w:val="24"/>
          <w:szCs w:val="24"/>
        </w:rPr>
        <w:t>.</w:t>
      </w:r>
      <w:r w:rsidRPr="00702CFA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обоснований бюджетных ассигнований на очередной финансовый год и плановый период (далее - ОБАС) в департамент финансов».</w:t>
      </w:r>
    </w:p>
    <w:p w:rsidR="00D8189C" w:rsidRPr="00702CFA" w:rsidRDefault="00FA7BD8" w:rsidP="00A7762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2CFA">
        <w:rPr>
          <w:rFonts w:ascii="Times New Roman" w:hAnsi="Times New Roman" w:cs="Times New Roman"/>
          <w:sz w:val="24"/>
          <w:szCs w:val="24"/>
        </w:rPr>
        <w:t>Показатель характеризует своевременность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 представления ОБАС в </w:t>
      </w:r>
      <w:r w:rsidR="0036379B" w:rsidRPr="00702CFA">
        <w:rPr>
          <w:rFonts w:ascii="Times New Roman" w:hAnsi="Times New Roman" w:cs="Times New Roman"/>
          <w:sz w:val="24"/>
          <w:szCs w:val="24"/>
        </w:rPr>
        <w:t>Д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епартамент финансов </w:t>
      </w:r>
      <w:r w:rsidRPr="00702CFA">
        <w:rPr>
          <w:rFonts w:ascii="Times New Roman" w:hAnsi="Times New Roman" w:cs="Times New Roman"/>
          <w:sz w:val="24"/>
          <w:szCs w:val="24"/>
        </w:rPr>
        <w:t>в сроки</w:t>
      </w:r>
      <w:r w:rsidR="00D8189C" w:rsidRPr="00702CFA">
        <w:rPr>
          <w:rFonts w:ascii="Times New Roman" w:hAnsi="Times New Roman" w:cs="Times New Roman"/>
          <w:sz w:val="24"/>
          <w:szCs w:val="24"/>
        </w:rPr>
        <w:t>, установленны</w:t>
      </w:r>
      <w:r w:rsidRPr="00702CFA">
        <w:rPr>
          <w:rFonts w:ascii="Times New Roman" w:hAnsi="Times New Roman" w:cs="Times New Roman"/>
          <w:sz w:val="24"/>
          <w:szCs w:val="24"/>
        </w:rPr>
        <w:t>е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города Югорска от 12.08.2014 №</w:t>
      </w:r>
      <w:r w:rsidR="005503AF" w:rsidRPr="00702CFA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702CFA">
        <w:rPr>
          <w:rFonts w:ascii="Times New Roman" w:hAnsi="Times New Roman" w:cs="Times New Roman"/>
          <w:sz w:val="24"/>
          <w:szCs w:val="24"/>
        </w:rPr>
        <w:t>4104 «</w:t>
      </w:r>
      <w:r w:rsidR="00D8189C" w:rsidRPr="00702CFA">
        <w:rPr>
          <w:rFonts w:ascii="Times New Roman" w:hAnsi="Times New Roman" w:cs="Times New Roman"/>
          <w:bCs/>
          <w:sz w:val="24"/>
          <w:szCs w:val="24"/>
        </w:rPr>
        <w:t xml:space="preserve">О порядке составления проекта 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решения о бюджете города Югорска на очередной финансовый год и плановый период» </w:t>
      </w:r>
      <w:r w:rsidR="005503AF" w:rsidRPr="00702CFA">
        <w:rPr>
          <w:rFonts w:ascii="Times New Roman" w:hAnsi="Times New Roman" w:cs="Times New Roman"/>
          <w:sz w:val="24"/>
          <w:szCs w:val="24"/>
        </w:rPr>
        <w:t xml:space="preserve">(с изменениями от 09.12.2014 № 6859, от 12.11.2015 № 3350, от 26.05.2016 № 1154, от 01.11.2016 № 2658) 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и письмами </w:t>
      </w:r>
      <w:r w:rsidR="0036379B" w:rsidRPr="00702CFA">
        <w:rPr>
          <w:rFonts w:ascii="Times New Roman" w:hAnsi="Times New Roman" w:cs="Times New Roman"/>
          <w:sz w:val="24"/>
          <w:szCs w:val="24"/>
        </w:rPr>
        <w:t>Д</w:t>
      </w:r>
      <w:r w:rsidR="00D8189C" w:rsidRPr="00702CFA">
        <w:rPr>
          <w:rFonts w:ascii="Times New Roman" w:hAnsi="Times New Roman" w:cs="Times New Roman"/>
          <w:sz w:val="24"/>
          <w:szCs w:val="24"/>
        </w:rPr>
        <w:t>епартамента финансов о доведении предельных объемов бюджетных ассигнований на 201</w:t>
      </w:r>
      <w:r w:rsidR="007D49C5" w:rsidRPr="00702CFA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D8189C" w:rsidRPr="00702CFA">
        <w:rPr>
          <w:rFonts w:ascii="Times New Roman" w:hAnsi="Times New Roman" w:cs="Times New Roman"/>
          <w:sz w:val="24"/>
          <w:szCs w:val="24"/>
        </w:rPr>
        <w:t xml:space="preserve"> </w:t>
      </w:r>
      <w:r w:rsidR="00CB6B71" w:rsidRPr="00702CFA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D8189C" w:rsidRPr="00702CFA">
        <w:rPr>
          <w:rFonts w:ascii="Times New Roman" w:hAnsi="Times New Roman" w:cs="Times New Roman"/>
          <w:sz w:val="24"/>
          <w:szCs w:val="24"/>
        </w:rPr>
        <w:t>год.</w:t>
      </w:r>
    </w:p>
    <w:p w:rsidR="00D8189C" w:rsidRPr="00702CFA" w:rsidRDefault="00D8189C" w:rsidP="00FA7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 xml:space="preserve">Указанные сроки соблюдены </w:t>
      </w:r>
      <w:r w:rsidR="00702CFA" w:rsidRPr="00702CFA">
        <w:rPr>
          <w:rFonts w:ascii="Times New Roman" w:hAnsi="Times New Roman" w:cs="Times New Roman"/>
          <w:sz w:val="24"/>
          <w:szCs w:val="24"/>
        </w:rPr>
        <w:t>5</w:t>
      </w:r>
      <w:r w:rsidR="00FA7BD8" w:rsidRPr="00702CFA">
        <w:rPr>
          <w:rFonts w:ascii="Times New Roman" w:hAnsi="Times New Roman" w:cs="Times New Roman"/>
          <w:sz w:val="24"/>
          <w:szCs w:val="24"/>
        </w:rPr>
        <w:t xml:space="preserve"> ГРБС: </w:t>
      </w:r>
      <w:r w:rsidR="00702CFA" w:rsidRPr="00702CFA">
        <w:rPr>
          <w:rFonts w:ascii="Times New Roman" w:hAnsi="Times New Roman" w:cs="Times New Roman"/>
          <w:sz w:val="24"/>
          <w:szCs w:val="24"/>
        </w:rPr>
        <w:t xml:space="preserve">Департаментом финансов, </w:t>
      </w:r>
      <w:r w:rsidRPr="00702CFA">
        <w:rPr>
          <w:rFonts w:ascii="Times New Roman" w:hAnsi="Times New Roman" w:cs="Times New Roman"/>
          <w:sz w:val="24"/>
          <w:szCs w:val="24"/>
        </w:rPr>
        <w:t>Администрацией города Югорска, Департаментом жилищно-коммунального и строительного комплекса,</w:t>
      </w:r>
      <w:r w:rsidR="00702CFA" w:rsidRPr="00702CFA">
        <w:rPr>
          <w:rFonts w:ascii="Times New Roman" w:hAnsi="Times New Roman" w:cs="Times New Roman"/>
          <w:sz w:val="24"/>
          <w:szCs w:val="24"/>
        </w:rPr>
        <w:t xml:space="preserve"> Управлением экономической политики (в отношении МАУ «Многофункциональный центр предоставления государственных и муниципальных услуг»), Управлением образования,</w:t>
      </w:r>
      <w:r w:rsidRPr="00702CFA">
        <w:rPr>
          <w:rFonts w:ascii="Times New Roman" w:hAnsi="Times New Roman" w:cs="Times New Roman"/>
          <w:sz w:val="24"/>
          <w:szCs w:val="24"/>
        </w:rPr>
        <w:t xml:space="preserve"> для которых значение </w:t>
      </w:r>
      <w:r w:rsidR="00FA7BD8" w:rsidRPr="00702CFA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702CFA">
        <w:rPr>
          <w:rFonts w:ascii="Times New Roman" w:hAnsi="Times New Roman" w:cs="Times New Roman"/>
          <w:sz w:val="24"/>
          <w:szCs w:val="24"/>
        </w:rPr>
        <w:t xml:space="preserve">показателя составило 100,0 баллов (максимальное значение). </w:t>
      </w:r>
    </w:p>
    <w:p w:rsidR="00D8189C" w:rsidRPr="009A1A75" w:rsidRDefault="00FA7BD8" w:rsidP="00FA7B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702CFA" w:rsidRPr="00702CFA">
        <w:rPr>
          <w:rFonts w:ascii="Times New Roman" w:hAnsi="Times New Roman" w:cs="Times New Roman"/>
          <w:sz w:val="24"/>
          <w:szCs w:val="24"/>
        </w:rPr>
        <w:t>6</w:t>
      </w:r>
      <w:r w:rsidRPr="00702CFA">
        <w:rPr>
          <w:rFonts w:ascii="Times New Roman" w:hAnsi="Times New Roman" w:cs="Times New Roman"/>
          <w:sz w:val="24"/>
          <w:szCs w:val="24"/>
        </w:rPr>
        <w:t xml:space="preserve"> ГРБС </w:t>
      </w:r>
      <w:r w:rsidR="00D8189C" w:rsidRPr="00702CFA">
        <w:rPr>
          <w:rFonts w:ascii="Times New Roman" w:hAnsi="Times New Roman" w:cs="Times New Roman"/>
          <w:sz w:val="24"/>
          <w:szCs w:val="24"/>
        </w:rPr>
        <w:t>ОБАС представ</w:t>
      </w:r>
      <w:r w:rsidRPr="00702CFA">
        <w:rPr>
          <w:rFonts w:ascii="Times New Roman" w:hAnsi="Times New Roman" w:cs="Times New Roman"/>
          <w:sz w:val="24"/>
          <w:szCs w:val="24"/>
        </w:rPr>
        <w:t>или</w:t>
      </w:r>
      <w:r w:rsidR="0036379B" w:rsidRPr="00702CFA">
        <w:rPr>
          <w:rFonts w:ascii="Times New Roman" w:hAnsi="Times New Roman" w:cs="Times New Roman"/>
          <w:sz w:val="24"/>
          <w:szCs w:val="24"/>
        </w:rPr>
        <w:t xml:space="preserve"> в Д</w:t>
      </w:r>
      <w:r w:rsidR="00D8189C" w:rsidRPr="00702CFA">
        <w:rPr>
          <w:rFonts w:ascii="Times New Roman" w:hAnsi="Times New Roman" w:cs="Times New Roman"/>
          <w:sz w:val="24"/>
          <w:szCs w:val="24"/>
        </w:rPr>
        <w:t>епартамент финансов с нарушением установленного срока</w:t>
      </w:r>
      <w:r w:rsidRPr="00702CFA">
        <w:rPr>
          <w:rFonts w:ascii="Times New Roman" w:hAnsi="Times New Roman" w:cs="Times New Roman"/>
          <w:sz w:val="24"/>
          <w:szCs w:val="24"/>
        </w:rPr>
        <w:t>, значение оценки показателя по ним составило 0 баллов</w:t>
      </w:r>
      <w:r w:rsidR="00D8189C" w:rsidRPr="00702CFA">
        <w:rPr>
          <w:rFonts w:ascii="Times New Roman" w:hAnsi="Times New Roman" w:cs="Times New Roman"/>
          <w:sz w:val="24"/>
          <w:szCs w:val="24"/>
        </w:rPr>
        <w:t>.</w:t>
      </w:r>
    </w:p>
    <w:p w:rsidR="00EF5ADA" w:rsidRPr="00702CFA" w:rsidRDefault="00EF5ADA" w:rsidP="00EF5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702CFA" w:rsidRPr="00702CFA">
        <w:rPr>
          <w:rFonts w:ascii="Times New Roman" w:hAnsi="Times New Roman" w:cs="Times New Roman"/>
          <w:sz w:val="24"/>
          <w:szCs w:val="24"/>
        </w:rPr>
        <w:t>45,5</w:t>
      </w:r>
      <w:r w:rsidRPr="00702CFA">
        <w:rPr>
          <w:rFonts w:ascii="Times New Roman" w:hAnsi="Times New Roman" w:cs="Times New Roman"/>
          <w:sz w:val="24"/>
          <w:szCs w:val="24"/>
        </w:rPr>
        <w:t xml:space="preserve"> балл</w:t>
      </w:r>
      <w:r w:rsidR="00C13E2C">
        <w:rPr>
          <w:rFonts w:ascii="Times New Roman" w:hAnsi="Times New Roman" w:cs="Times New Roman"/>
          <w:sz w:val="24"/>
          <w:szCs w:val="24"/>
        </w:rPr>
        <w:t>ов</w:t>
      </w:r>
      <w:r w:rsidRPr="00702CFA">
        <w:rPr>
          <w:rFonts w:ascii="Times New Roman" w:hAnsi="Times New Roman" w:cs="Times New Roman"/>
          <w:sz w:val="24"/>
          <w:szCs w:val="24"/>
        </w:rPr>
        <w:t xml:space="preserve"> (в 201</w:t>
      </w:r>
      <w:r w:rsidR="00734E86" w:rsidRPr="00702CFA">
        <w:rPr>
          <w:rFonts w:ascii="Times New Roman" w:hAnsi="Times New Roman" w:cs="Times New Roman"/>
          <w:sz w:val="24"/>
          <w:szCs w:val="24"/>
        </w:rPr>
        <w:t>5</w:t>
      </w:r>
      <w:r w:rsidRPr="00702CFA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36,4 балл</w:t>
      </w:r>
      <w:r w:rsidR="00C13E2C">
        <w:rPr>
          <w:rFonts w:ascii="Times New Roman" w:hAnsi="Times New Roman" w:cs="Times New Roman"/>
          <w:sz w:val="24"/>
          <w:szCs w:val="24"/>
        </w:rPr>
        <w:t>ов</w:t>
      </w:r>
      <w:r w:rsidRPr="00702CFA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702CFA" w:rsidRDefault="00D8189C" w:rsidP="00EF5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>7) Показатель 1.7</w:t>
      </w:r>
      <w:r w:rsidR="00E175C7" w:rsidRPr="00702CFA">
        <w:rPr>
          <w:rFonts w:ascii="Times New Roman" w:hAnsi="Times New Roman" w:cs="Times New Roman"/>
          <w:sz w:val="24"/>
          <w:szCs w:val="24"/>
        </w:rPr>
        <w:t>.</w:t>
      </w:r>
      <w:r w:rsidRPr="00702CFA">
        <w:rPr>
          <w:rFonts w:ascii="Times New Roman" w:hAnsi="Times New Roman" w:cs="Times New Roman"/>
          <w:sz w:val="24"/>
          <w:szCs w:val="24"/>
        </w:rPr>
        <w:t xml:space="preserve"> «Полнота и соответствие утверждённым формам обоснований бюджетных ассигнований на очередной финансовый год и плановый период, представленных в департамент финансов». </w:t>
      </w:r>
    </w:p>
    <w:p w:rsidR="00D8189C" w:rsidRPr="00702CFA" w:rsidRDefault="00D8189C" w:rsidP="00EF5A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 xml:space="preserve">Показатель характеризует соответствие/несоответствие утвержденным формам обоснований бюджетных ассигнований на </w:t>
      </w:r>
      <w:r w:rsidR="002D2945" w:rsidRPr="00702CFA">
        <w:rPr>
          <w:rFonts w:ascii="Times New Roman" w:hAnsi="Times New Roman" w:cs="Times New Roman"/>
          <w:sz w:val="24"/>
          <w:szCs w:val="24"/>
        </w:rPr>
        <w:t>201</w:t>
      </w:r>
      <w:r w:rsidR="007D49C5" w:rsidRPr="00702CFA">
        <w:rPr>
          <w:rFonts w:ascii="Times New Roman" w:hAnsi="Times New Roman" w:cs="Times New Roman"/>
          <w:sz w:val="24"/>
          <w:szCs w:val="24"/>
        </w:rPr>
        <w:t>6</w:t>
      </w:r>
      <w:r w:rsidRPr="00702CFA">
        <w:rPr>
          <w:rFonts w:ascii="Times New Roman" w:hAnsi="Times New Roman" w:cs="Times New Roman"/>
          <w:sz w:val="24"/>
          <w:szCs w:val="24"/>
        </w:rPr>
        <w:t xml:space="preserve"> финансовый год, представленн</w:t>
      </w:r>
      <w:r w:rsidR="002440F4" w:rsidRPr="00702CFA">
        <w:rPr>
          <w:rFonts w:ascii="Times New Roman" w:hAnsi="Times New Roman" w:cs="Times New Roman"/>
          <w:sz w:val="24"/>
          <w:szCs w:val="24"/>
        </w:rPr>
        <w:t>ых в Д</w:t>
      </w:r>
      <w:r w:rsidRPr="00702CFA">
        <w:rPr>
          <w:rFonts w:ascii="Times New Roman" w:hAnsi="Times New Roman" w:cs="Times New Roman"/>
          <w:sz w:val="24"/>
          <w:szCs w:val="24"/>
        </w:rPr>
        <w:t xml:space="preserve">епартамент финансов, </w:t>
      </w:r>
      <w:proofErr w:type="gramStart"/>
      <w:r w:rsidRPr="00702CFA">
        <w:rPr>
          <w:rFonts w:ascii="Times New Roman" w:hAnsi="Times New Roman" w:cs="Times New Roman"/>
          <w:sz w:val="24"/>
          <w:szCs w:val="24"/>
        </w:rPr>
        <w:t>на сколько</w:t>
      </w:r>
      <w:proofErr w:type="gramEnd"/>
      <w:r w:rsidRPr="00702CFA">
        <w:rPr>
          <w:rFonts w:ascii="Times New Roman" w:hAnsi="Times New Roman" w:cs="Times New Roman"/>
          <w:sz w:val="24"/>
          <w:szCs w:val="24"/>
        </w:rPr>
        <w:t xml:space="preserve"> полно ГРБС обосновал доведенные ему объемы бюджетных ассигнований при составлении проекта бюджета города </w:t>
      </w:r>
      <w:r w:rsidR="002D2945" w:rsidRPr="00702CFA">
        <w:rPr>
          <w:rFonts w:ascii="Times New Roman" w:hAnsi="Times New Roman" w:cs="Times New Roman"/>
          <w:sz w:val="24"/>
          <w:szCs w:val="24"/>
        </w:rPr>
        <w:t>на 201</w:t>
      </w:r>
      <w:r w:rsidR="00900098" w:rsidRPr="00702CFA">
        <w:rPr>
          <w:rFonts w:ascii="Times New Roman" w:hAnsi="Times New Roman" w:cs="Times New Roman"/>
          <w:sz w:val="24"/>
          <w:szCs w:val="24"/>
        </w:rPr>
        <w:t>7</w:t>
      </w:r>
      <w:r w:rsidR="002D2945" w:rsidRPr="00702CFA">
        <w:rPr>
          <w:rFonts w:ascii="Times New Roman" w:hAnsi="Times New Roman" w:cs="Times New Roman"/>
          <w:sz w:val="24"/>
          <w:szCs w:val="24"/>
        </w:rPr>
        <w:t xml:space="preserve"> год</w:t>
      </w:r>
      <w:r w:rsidR="00900098" w:rsidRPr="00702CFA">
        <w:rPr>
          <w:rFonts w:ascii="Times New Roman" w:hAnsi="Times New Roman" w:cs="Times New Roman"/>
          <w:sz w:val="24"/>
          <w:szCs w:val="24"/>
        </w:rPr>
        <w:t xml:space="preserve"> и на плановый период 2018 и 2019 годов</w:t>
      </w:r>
      <w:r w:rsidR="002D2945" w:rsidRPr="00702CFA">
        <w:rPr>
          <w:rFonts w:ascii="Times New Roman" w:hAnsi="Times New Roman" w:cs="Times New Roman"/>
          <w:sz w:val="24"/>
          <w:szCs w:val="24"/>
        </w:rPr>
        <w:t xml:space="preserve"> </w:t>
      </w:r>
      <w:r w:rsidRPr="00702CFA">
        <w:rPr>
          <w:rFonts w:ascii="Times New Roman" w:hAnsi="Times New Roman" w:cs="Times New Roman"/>
          <w:sz w:val="24"/>
          <w:szCs w:val="24"/>
        </w:rPr>
        <w:t>в увязке с показателями результативности.</w:t>
      </w:r>
    </w:p>
    <w:p w:rsidR="00D8189C" w:rsidRPr="00702CFA" w:rsidRDefault="00EF5ADA" w:rsidP="00EF5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показателя по </w:t>
      </w:r>
      <w:r w:rsidR="00702CFA" w:rsidRPr="00702CFA">
        <w:rPr>
          <w:rFonts w:ascii="Times New Roman" w:hAnsi="Times New Roman" w:cs="Times New Roman"/>
          <w:sz w:val="24"/>
          <w:szCs w:val="24"/>
        </w:rPr>
        <w:t xml:space="preserve">всем </w:t>
      </w:r>
      <w:r w:rsidR="00D8189C" w:rsidRPr="00702CFA">
        <w:rPr>
          <w:rFonts w:ascii="Times New Roman" w:hAnsi="Times New Roman" w:cs="Times New Roman"/>
          <w:sz w:val="24"/>
          <w:szCs w:val="24"/>
        </w:rPr>
        <w:t>ГАБС составил</w:t>
      </w:r>
      <w:r w:rsidRPr="00702CFA">
        <w:rPr>
          <w:rFonts w:ascii="Times New Roman" w:hAnsi="Times New Roman" w:cs="Times New Roman"/>
          <w:sz w:val="24"/>
          <w:szCs w:val="24"/>
        </w:rPr>
        <w:t>а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 100,0 баллов (максимальное значение</w:t>
      </w:r>
      <w:r w:rsidRPr="00702CFA">
        <w:rPr>
          <w:rFonts w:ascii="Times New Roman" w:hAnsi="Times New Roman" w:cs="Times New Roman"/>
          <w:sz w:val="24"/>
          <w:szCs w:val="24"/>
        </w:rPr>
        <w:t>)</w:t>
      </w:r>
      <w:r w:rsidR="00D8189C" w:rsidRPr="00702CFA">
        <w:rPr>
          <w:rFonts w:ascii="Times New Roman" w:hAnsi="Times New Roman" w:cs="Times New Roman"/>
          <w:sz w:val="24"/>
          <w:szCs w:val="24"/>
        </w:rPr>
        <w:t>.</w:t>
      </w:r>
    </w:p>
    <w:p w:rsidR="00EF5ADA" w:rsidRPr="00702CFA" w:rsidRDefault="00EF5ADA" w:rsidP="00EF5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702CFA" w:rsidRPr="00702CFA">
        <w:rPr>
          <w:rFonts w:ascii="Times New Roman" w:hAnsi="Times New Roman" w:cs="Times New Roman"/>
          <w:sz w:val="24"/>
          <w:szCs w:val="24"/>
        </w:rPr>
        <w:t>100,0</w:t>
      </w:r>
      <w:r w:rsidRPr="00702CFA">
        <w:rPr>
          <w:rFonts w:ascii="Times New Roman" w:hAnsi="Times New Roman" w:cs="Times New Roman"/>
          <w:sz w:val="24"/>
          <w:szCs w:val="24"/>
        </w:rPr>
        <w:t xml:space="preserve"> баллов, что </w:t>
      </w:r>
      <w:r w:rsidR="00702CFA" w:rsidRPr="00702CFA">
        <w:rPr>
          <w:rFonts w:ascii="Times New Roman" w:hAnsi="Times New Roman" w:cs="Times New Roman"/>
          <w:sz w:val="24"/>
          <w:szCs w:val="24"/>
        </w:rPr>
        <w:t>выше</w:t>
      </w:r>
      <w:r w:rsidRPr="00702CFA">
        <w:rPr>
          <w:rFonts w:ascii="Times New Roman" w:hAnsi="Times New Roman" w:cs="Times New Roman"/>
          <w:sz w:val="24"/>
          <w:szCs w:val="24"/>
        </w:rPr>
        <w:t xml:space="preserve"> уровня 201</w:t>
      </w:r>
      <w:r w:rsidR="00AC3EAF" w:rsidRPr="00702CFA">
        <w:rPr>
          <w:rFonts w:ascii="Times New Roman" w:hAnsi="Times New Roman" w:cs="Times New Roman"/>
          <w:sz w:val="24"/>
          <w:szCs w:val="24"/>
        </w:rPr>
        <w:t>5</w:t>
      </w:r>
      <w:r w:rsidRPr="00702CFA">
        <w:rPr>
          <w:rFonts w:ascii="Times New Roman" w:hAnsi="Times New Roman" w:cs="Times New Roman"/>
          <w:sz w:val="24"/>
          <w:szCs w:val="24"/>
        </w:rPr>
        <w:t xml:space="preserve"> год</w:t>
      </w:r>
      <w:r w:rsidR="00702CFA" w:rsidRPr="00702CFA">
        <w:rPr>
          <w:rFonts w:ascii="Times New Roman" w:hAnsi="Times New Roman" w:cs="Times New Roman"/>
          <w:sz w:val="24"/>
          <w:szCs w:val="24"/>
        </w:rPr>
        <w:t>а</w:t>
      </w:r>
      <w:r w:rsidRPr="00702CFA">
        <w:rPr>
          <w:rFonts w:ascii="Times New Roman" w:hAnsi="Times New Roman" w:cs="Times New Roman"/>
          <w:sz w:val="24"/>
          <w:szCs w:val="24"/>
        </w:rPr>
        <w:t xml:space="preserve"> на </w:t>
      </w:r>
      <w:r w:rsidR="00702CFA" w:rsidRPr="00702CFA">
        <w:rPr>
          <w:rFonts w:ascii="Times New Roman" w:hAnsi="Times New Roman" w:cs="Times New Roman"/>
          <w:sz w:val="24"/>
          <w:szCs w:val="24"/>
        </w:rPr>
        <w:t>36,4</w:t>
      </w:r>
      <w:r w:rsidRPr="00702CFA">
        <w:rPr>
          <w:rFonts w:ascii="Times New Roman" w:hAnsi="Times New Roman" w:cs="Times New Roman"/>
          <w:sz w:val="24"/>
          <w:szCs w:val="24"/>
        </w:rPr>
        <w:t xml:space="preserve"> балл</w:t>
      </w:r>
      <w:r w:rsidR="00C13E2C">
        <w:rPr>
          <w:rFonts w:ascii="Times New Roman" w:hAnsi="Times New Roman" w:cs="Times New Roman"/>
          <w:sz w:val="24"/>
          <w:szCs w:val="24"/>
        </w:rPr>
        <w:t>ов</w:t>
      </w:r>
      <w:r w:rsidRPr="00702CFA">
        <w:rPr>
          <w:rFonts w:ascii="Times New Roman" w:hAnsi="Times New Roman" w:cs="Times New Roman"/>
          <w:sz w:val="24"/>
          <w:szCs w:val="24"/>
        </w:rPr>
        <w:t xml:space="preserve"> (в 201</w:t>
      </w:r>
      <w:r w:rsidR="00AC3EAF" w:rsidRPr="00702CFA">
        <w:rPr>
          <w:rFonts w:ascii="Times New Roman" w:hAnsi="Times New Roman" w:cs="Times New Roman"/>
          <w:sz w:val="24"/>
          <w:szCs w:val="24"/>
        </w:rPr>
        <w:t>5</w:t>
      </w:r>
      <w:r w:rsidRPr="00702CFA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AC3EAF" w:rsidRPr="00702CFA">
        <w:rPr>
          <w:rFonts w:ascii="Times New Roman" w:hAnsi="Times New Roman" w:cs="Times New Roman"/>
          <w:sz w:val="24"/>
          <w:szCs w:val="24"/>
        </w:rPr>
        <w:t>63,6</w:t>
      </w:r>
      <w:r w:rsidRPr="00702CFA">
        <w:rPr>
          <w:rFonts w:ascii="Times New Roman" w:hAnsi="Times New Roman" w:cs="Times New Roman"/>
          <w:sz w:val="24"/>
          <w:szCs w:val="24"/>
        </w:rPr>
        <w:t xml:space="preserve"> балл</w:t>
      </w:r>
      <w:r w:rsidR="00C13E2C">
        <w:rPr>
          <w:rFonts w:ascii="Times New Roman" w:hAnsi="Times New Roman" w:cs="Times New Roman"/>
          <w:sz w:val="24"/>
          <w:szCs w:val="24"/>
        </w:rPr>
        <w:t>ов</w:t>
      </w:r>
      <w:r w:rsidRPr="00702CFA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702CFA" w:rsidRDefault="00D8189C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>8) Показатель 1.8</w:t>
      </w:r>
      <w:r w:rsidR="00520D0C" w:rsidRPr="00702CFA">
        <w:rPr>
          <w:rFonts w:ascii="Times New Roman" w:hAnsi="Times New Roman" w:cs="Times New Roman"/>
          <w:sz w:val="24"/>
          <w:szCs w:val="24"/>
        </w:rPr>
        <w:t>.</w:t>
      </w:r>
      <w:r w:rsidRPr="00702CFA">
        <w:rPr>
          <w:rFonts w:ascii="Times New Roman" w:hAnsi="Times New Roman" w:cs="Times New Roman"/>
          <w:sz w:val="24"/>
          <w:szCs w:val="24"/>
        </w:rPr>
        <w:t xml:space="preserve"> «Соответствие данных обоснований бюджетных ассигнований на очередной финансовый год и плановый период доведённым департаментом финансов предельным объёмам бюджетных ассигнований». </w:t>
      </w:r>
    </w:p>
    <w:p w:rsidR="00D8189C" w:rsidRPr="00702CFA" w:rsidRDefault="00EF5ADA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>Показатель характеризует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 соответствие или несоответствие представленного </w:t>
      </w:r>
      <w:r w:rsidRPr="00702CFA">
        <w:rPr>
          <w:rFonts w:ascii="Times New Roman" w:hAnsi="Times New Roman" w:cs="Times New Roman"/>
          <w:sz w:val="24"/>
          <w:szCs w:val="24"/>
        </w:rPr>
        <w:t>обоснования бюджетных ассигнований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 Г</w:t>
      </w:r>
      <w:r w:rsidRPr="00702CFA">
        <w:rPr>
          <w:rFonts w:ascii="Times New Roman" w:hAnsi="Times New Roman" w:cs="Times New Roman"/>
          <w:sz w:val="24"/>
          <w:szCs w:val="24"/>
        </w:rPr>
        <w:t>Р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БС </w:t>
      </w:r>
      <w:r w:rsidRPr="00702CFA">
        <w:rPr>
          <w:rFonts w:ascii="Times New Roman" w:hAnsi="Times New Roman" w:cs="Times New Roman"/>
          <w:sz w:val="24"/>
          <w:szCs w:val="24"/>
        </w:rPr>
        <w:t>на 201</w:t>
      </w:r>
      <w:r w:rsidR="00520D0C" w:rsidRPr="00702CFA">
        <w:rPr>
          <w:rFonts w:ascii="Times New Roman" w:hAnsi="Times New Roman" w:cs="Times New Roman"/>
          <w:sz w:val="24"/>
          <w:szCs w:val="24"/>
        </w:rPr>
        <w:t>6</w:t>
      </w:r>
      <w:r w:rsidRPr="00702CFA">
        <w:rPr>
          <w:rFonts w:ascii="Times New Roman" w:hAnsi="Times New Roman" w:cs="Times New Roman"/>
          <w:sz w:val="24"/>
          <w:szCs w:val="24"/>
        </w:rPr>
        <w:t xml:space="preserve"> год и на плановый период 201</w:t>
      </w:r>
      <w:r w:rsidR="00520D0C" w:rsidRPr="00702CFA">
        <w:rPr>
          <w:rFonts w:ascii="Times New Roman" w:hAnsi="Times New Roman" w:cs="Times New Roman"/>
          <w:sz w:val="24"/>
          <w:szCs w:val="24"/>
        </w:rPr>
        <w:t>8</w:t>
      </w:r>
      <w:r w:rsidR="002440F4" w:rsidRPr="00702CFA">
        <w:rPr>
          <w:rFonts w:ascii="Times New Roman" w:hAnsi="Times New Roman" w:cs="Times New Roman"/>
          <w:sz w:val="24"/>
          <w:szCs w:val="24"/>
        </w:rPr>
        <w:t xml:space="preserve"> и </w:t>
      </w:r>
      <w:r w:rsidRPr="00702CFA">
        <w:rPr>
          <w:rFonts w:ascii="Times New Roman" w:hAnsi="Times New Roman" w:cs="Times New Roman"/>
          <w:sz w:val="24"/>
          <w:szCs w:val="24"/>
        </w:rPr>
        <w:t>201</w:t>
      </w:r>
      <w:r w:rsidR="00520D0C" w:rsidRPr="00702CFA">
        <w:rPr>
          <w:rFonts w:ascii="Times New Roman" w:hAnsi="Times New Roman" w:cs="Times New Roman"/>
          <w:sz w:val="24"/>
          <w:szCs w:val="24"/>
        </w:rPr>
        <w:t>9</w:t>
      </w:r>
      <w:r w:rsidRPr="00702CFA">
        <w:rPr>
          <w:rFonts w:ascii="Times New Roman" w:hAnsi="Times New Roman" w:cs="Times New Roman"/>
          <w:sz w:val="24"/>
          <w:szCs w:val="24"/>
        </w:rPr>
        <w:t xml:space="preserve"> годов </w:t>
      </w:r>
      <w:r w:rsidR="00D8189C" w:rsidRPr="00702CFA">
        <w:rPr>
          <w:rFonts w:ascii="Times New Roman" w:hAnsi="Times New Roman" w:cs="Times New Roman"/>
          <w:sz w:val="24"/>
          <w:szCs w:val="24"/>
        </w:rPr>
        <w:t>предельным объемам бюдж</w:t>
      </w:r>
      <w:r w:rsidR="002440F4" w:rsidRPr="00702CFA">
        <w:rPr>
          <w:rFonts w:ascii="Times New Roman" w:hAnsi="Times New Roman" w:cs="Times New Roman"/>
          <w:sz w:val="24"/>
          <w:szCs w:val="24"/>
        </w:rPr>
        <w:t>етных ассигнований, доведенным Д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епартаментом финансов. </w:t>
      </w:r>
    </w:p>
    <w:p w:rsidR="00EF5ADA" w:rsidRPr="00702CFA" w:rsidRDefault="00EF5ADA" w:rsidP="00EF5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2CFA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показателя по </w:t>
      </w:r>
      <w:r w:rsidRPr="00702CFA">
        <w:rPr>
          <w:rFonts w:ascii="Times New Roman" w:hAnsi="Times New Roman" w:cs="Times New Roman"/>
          <w:sz w:val="24"/>
          <w:szCs w:val="24"/>
        </w:rPr>
        <w:t xml:space="preserve">всем </w:t>
      </w:r>
      <w:r w:rsidR="00D8189C" w:rsidRPr="00702CFA">
        <w:rPr>
          <w:rFonts w:ascii="Times New Roman" w:hAnsi="Times New Roman" w:cs="Times New Roman"/>
          <w:sz w:val="24"/>
          <w:szCs w:val="24"/>
        </w:rPr>
        <w:t>Г</w:t>
      </w:r>
      <w:r w:rsidRPr="00702CFA">
        <w:rPr>
          <w:rFonts w:ascii="Times New Roman" w:hAnsi="Times New Roman" w:cs="Times New Roman"/>
          <w:sz w:val="24"/>
          <w:szCs w:val="24"/>
        </w:rPr>
        <w:t>Р</w:t>
      </w:r>
      <w:r w:rsidR="00D8189C" w:rsidRPr="00702CFA">
        <w:rPr>
          <w:rFonts w:ascii="Times New Roman" w:hAnsi="Times New Roman" w:cs="Times New Roman"/>
          <w:sz w:val="24"/>
          <w:szCs w:val="24"/>
        </w:rPr>
        <w:t>БС составил</w:t>
      </w:r>
      <w:r w:rsidRPr="00702CFA">
        <w:rPr>
          <w:rFonts w:ascii="Times New Roman" w:hAnsi="Times New Roman" w:cs="Times New Roman"/>
          <w:sz w:val="24"/>
          <w:szCs w:val="24"/>
        </w:rPr>
        <w:t>а</w:t>
      </w:r>
      <w:r w:rsidR="00D8189C" w:rsidRPr="00702CFA">
        <w:rPr>
          <w:rFonts w:ascii="Times New Roman" w:hAnsi="Times New Roman" w:cs="Times New Roman"/>
          <w:sz w:val="24"/>
          <w:szCs w:val="24"/>
        </w:rPr>
        <w:t xml:space="preserve"> 100,0 баллов (максимальное значение)</w:t>
      </w:r>
      <w:r w:rsidRPr="00702CFA">
        <w:rPr>
          <w:rFonts w:ascii="Times New Roman" w:hAnsi="Times New Roman" w:cs="Times New Roman"/>
          <w:sz w:val="24"/>
          <w:szCs w:val="24"/>
        </w:rPr>
        <w:t xml:space="preserve"> (в 201</w:t>
      </w:r>
      <w:r w:rsidR="00A2113B" w:rsidRPr="00702CFA">
        <w:rPr>
          <w:rFonts w:ascii="Times New Roman" w:hAnsi="Times New Roman" w:cs="Times New Roman"/>
          <w:sz w:val="24"/>
          <w:szCs w:val="24"/>
        </w:rPr>
        <w:t>5</w:t>
      </w:r>
      <w:r w:rsidRPr="00702CFA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A2113B" w:rsidRPr="00702CFA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100</w:t>
      </w:r>
      <w:r w:rsidRPr="00702CFA">
        <w:rPr>
          <w:rFonts w:ascii="Times New Roman" w:hAnsi="Times New Roman" w:cs="Times New Roman"/>
          <w:sz w:val="24"/>
          <w:szCs w:val="24"/>
        </w:rPr>
        <w:t>,0 балла).</w:t>
      </w:r>
    </w:p>
    <w:p w:rsidR="00D8189C" w:rsidRPr="004418A5" w:rsidRDefault="00D8189C" w:rsidP="006F47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8A5">
        <w:rPr>
          <w:rFonts w:ascii="Times New Roman" w:hAnsi="Times New Roman" w:cs="Times New Roman"/>
          <w:sz w:val="24"/>
          <w:szCs w:val="24"/>
        </w:rPr>
        <w:t>9) Показатель 1.9</w:t>
      </w:r>
      <w:r w:rsidR="00D35080" w:rsidRPr="004418A5">
        <w:rPr>
          <w:rFonts w:ascii="Times New Roman" w:hAnsi="Times New Roman" w:cs="Times New Roman"/>
          <w:sz w:val="24"/>
          <w:szCs w:val="24"/>
        </w:rPr>
        <w:t>.</w:t>
      </w:r>
      <w:r w:rsidRPr="004418A5">
        <w:rPr>
          <w:rFonts w:ascii="Times New Roman" w:hAnsi="Times New Roman" w:cs="Times New Roman"/>
          <w:sz w:val="24"/>
          <w:szCs w:val="24"/>
        </w:rPr>
        <w:t xml:space="preserve"> «Изменение доли бюджетных ассигнований на реализацию муниципальных программ города Югорска».</w:t>
      </w:r>
    </w:p>
    <w:p w:rsidR="008D5A92" w:rsidRPr="004418A5" w:rsidRDefault="00153C06" w:rsidP="0015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8A5">
        <w:rPr>
          <w:rFonts w:ascii="Times New Roman" w:hAnsi="Times New Roman" w:cs="Times New Roman"/>
          <w:sz w:val="24"/>
          <w:szCs w:val="24"/>
        </w:rPr>
        <w:t>Показатель характеризу</w:t>
      </w:r>
      <w:r w:rsidR="008D5A92" w:rsidRPr="004418A5">
        <w:rPr>
          <w:rFonts w:ascii="Times New Roman" w:hAnsi="Times New Roman" w:cs="Times New Roman"/>
          <w:sz w:val="24"/>
          <w:szCs w:val="24"/>
        </w:rPr>
        <w:t>ет</w:t>
      </w:r>
      <w:r w:rsidRPr="004418A5">
        <w:rPr>
          <w:rFonts w:ascii="Times New Roman" w:hAnsi="Times New Roman" w:cs="Times New Roman"/>
          <w:sz w:val="24"/>
          <w:szCs w:val="24"/>
        </w:rPr>
        <w:t xml:space="preserve"> уровень применения программно-целевого метода планирования главными распорядителями бюджетных средств. </w:t>
      </w:r>
    </w:p>
    <w:p w:rsidR="00524D60" w:rsidRDefault="008D5A92" w:rsidP="0015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418A5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153C06" w:rsidRPr="004418A5">
        <w:rPr>
          <w:rFonts w:ascii="Times New Roman" w:hAnsi="Times New Roman" w:cs="Times New Roman"/>
          <w:sz w:val="24"/>
          <w:szCs w:val="24"/>
        </w:rPr>
        <w:t xml:space="preserve"> оценке качества финансового менеджмента по данному показателю не участв</w:t>
      </w:r>
      <w:r w:rsidR="00524D60" w:rsidRPr="004418A5">
        <w:rPr>
          <w:rFonts w:ascii="Times New Roman" w:hAnsi="Times New Roman" w:cs="Times New Roman"/>
          <w:sz w:val="24"/>
          <w:szCs w:val="24"/>
        </w:rPr>
        <w:t>уе</w:t>
      </w:r>
      <w:r w:rsidR="00153C06" w:rsidRPr="004418A5">
        <w:rPr>
          <w:rFonts w:ascii="Times New Roman" w:hAnsi="Times New Roman" w:cs="Times New Roman"/>
          <w:sz w:val="24"/>
          <w:szCs w:val="24"/>
        </w:rPr>
        <w:t xml:space="preserve">т Дума </w:t>
      </w:r>
      <w:r w:rsidR="00524D60" w:rsidRPr="004418A5">
        <w:rPr>
          <w:rFonts w:ascii="Times New Roman" w:hAnsi="Times New Roman" w:cs="Times New Roman"/>
          <w:sz w:val="24"/>
          <w:szCs w:val="24"/>
        </w:rPr>
        <w:t>города Югорска.</w:t>
      </w:r>
    </w:p>
    <w:p w:rsidR="00C13E2C" w:rsidRDefault="00C13E2C" w:rsidP="00153C0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оценка по данному показателю 90,0 баллов, что ниже уровня 2015 года на 10 баллов (в 2015 году средняя бальная оценка составляла 100,0 баллов).</w:t>
      </w:r>
    </w:p>
    <w:p w:rsidR="00524D60" w:rsidRPr="004418A5" w:rsidRDefault="00C13E2C" w:rsidP="00524D6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ГРБС за 2016 год получили 100,0 баллов, так как у них</w:t>
      </w:r>
      <w:r w:rsidR="00524D60" w:rsidRPr="004418A5">
        <w:rPr>
          <w:rFonts w:ascii="Times New Roman" w:hAnsi="Times New Roman" w:cs="Times New Roman"/>
          <w:sz w:val="24"/>
          <w:szCs w:val="24"/>
        </w:rPr>
        <w:t xml:space="preserve"> наблюдается</w:t>
      </w:r>
      <w:r w:rsidR="00D8189C" w:rsidRPr="004418A5">
        <w:rPr>
          <w:rFonts w:ascii="Times New Roman" w:hAnsi="Times New Roman" w:cs="Times New Roman"/>
          <w:sz w:val="24"/>
          <w:szCs w:val="24"/>
        </w:rPr>
        <w:t xml:space="preserve"> сохранение на достигнутом уровне доли бюджетных ассигнований на реализацию муниципальных программ города Югорска в общем объеме бюджетных ассигнований в отчётном периоде по отношению к предшествующему отчётному периоду. </w:t>
      </w:r>
    </w:p>
    <w:p w:rsidR="009917D8" w:rsidRPr="004418A5" w:rsidRDefault="00C13E2C" w:rsidP="009917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 </w:t>
      </w:r>
      <w:r w:rsidR="009917D8" w:rsidRPr="004418A5">
        <w:rPr>
          <w:rFonts w:ascii="Times New Roman" w:hAnsi="Times New Roman" w:cs="Times New Roman"/>
          <w:sz w:val="24"/>
          <w:szCs w:val="24"/>
        </w:rPr>
        <w:t>Администраци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917D8" w:rsidRPr="004418A5">
        <w:rPr>
          <w:rFonts w:ascii="Times New Roman" w:hAnsi="Times New Roman" w:cs="Times New Roman"/>
          <w:sz w:val="24"/>
          <w:szCs w:val="24"/>
        </w:rPr>
        <w:t xml:space="preserve">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оценка по данному показателю составила 0,0 баллов, в связи со снижением </w:t>
      </w:r>
      <w:r w:rsidR="009917D8" w:rsidRPr="004418A5">
        <w:rPr>
          <w:rFonts w:ascii="Times New Roman" w:hAnsi="Times New Roman" w:cs="Times New Roman"/>
          <w:sz w:val="24"/>
          <w:szCs w:val="24"/>
        </w:rPr>
        <w:t xml:space="preserve"> доля бюджетных ассигнований на реализацию муници</w:t>
      </w:r>
      <w:r>
        <w:rPr>
          <w:rFonts w:ascii="Times New Roman" w:hAnsi="Times New Roman" w:cs="Times New Roman"/>
          <w:sz w:val="24"/>
          <w:szCs w:val="24"/>
        </w:rPr>
        <w:t xml:space="preserve">пальных программ города Югорска, </w:t>
      </w:r>
      <w:r w:rsidR="009917D8" w:rsidRPr="004418A5">
        <w:rPr>
          <w:rFonts w:ascii="Times New Roman" w:hAnsi="Times New Roman" w:cs="Times New Roman"/>
          <w:sz w:val="24"/>
          <w:szCs w:val="24"/>
        </w:rPr>
        <w:t>что обусловлено поступлением межбюджетных трансфертов за счет средств окружного бюджета в конце финансового года.</w:t>
      </w:r>
    </w:p>
    <w:p w:rsidR="00D8189C" w:rsidRPr="004418A5" w:rsidRDefault="00D8189C" w:rsidP="00BA5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8A5">
        <w:rPr>
          <w:rFonts w:ascii="Times New Roman" w:hAnsi="Times New Roman" w:cs="Times New Roman"/>
          <w:sz w:val="24"/>
          <w:szCs w:val="24"/>
        </w:rPr>
        <w:t>10) Показатель 1.10</w:t>
      </w:r>
      <w:r w:rsidR="005146A6" w:rsidRPr="004418A5">
        <w:rPr>
          <w:rFonts w:ascii="Times New Roman" w:hAnsi="Times New Roman" w:cs="Times New Roman"/>
          <w:sz w:val="24"/>
          <w:szCs w:val="24"/>
        </w:rPr>
        <w:t>.</w:t>
      </w:r>
      <w:r w:rsidRPr="004418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8A5">
        <w:rPr>
          <w:rFonts w:ascii="Times New Roman" w:hAnsi="Times New Roman" w:cs="Times New Roman"/>
          <w:sz w:val="24"/>
          <w:szCs w:val="24"/>
        </w:rPr>
        <w:t>«Доля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Югорска, получивших в управлении экономической политики администрации города Югорска положительное заключение при первичной экспертизе от общего количества проектов муниципальных программ города Югорска и проектов постановлений администрации города Югорска о внесении изменений в утвержденные муниципальные программы города Югорска».</w:t>
      </w:r>
      <w:proofErr w:type="gramEnd"/>
    </w:p>
    <w:p w:rsidR="00D8189C" w:rsidRPr="004418A5" w:rsidRDefault="00D8189C" w:rsidP="00BA5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18A5">
        <w:rPr>
          <w:rFonts w:ascii="Times New Roman" w:hAnsi="Times New Roman" w:cs="Times New Roman"/>
          <w:sz w:val="24"/>
          <w:szCs w:val="24"/>
        </w:rPr>
        <w:t>Показатель характеризует качество подготовки ГРБС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Югорска.</w:t>
      </w:r>
    </w:p>
    <w:p w:rsidR="00BA55EE" w:rsidRPr="00747E25" w:rsidRDefault="00D8189C" w:rsidP="00BA55E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E25">
        <w:rPr>
          <w:rFonts w:ascii="Times New Roman" w:hAnsi="Times New Roman" w:cs="Times New Roman"/>
          <w:sz w:val="24"/>
          <w:szCs w:val="24"/>
        </w:rPr>
        <w:t xml:space="preserve">Оценка показателя производилась на основании данных, представленных </w:t>
      </w:r>
      <w:r w:rsidR="00BA55EE" w:rsidRPr="00747E25">
        <w:rPr>
          <w:rFonts w:ascii="Times New Roman" w:hAnsi="Times New Roman" w:cs="Times New Roman"/>
          <w:sz w:val="24"/>
          <w:szCs w:val="24"/>
        </w:rPr>
        <w:t xml:space="preserve">Управлением экономической политики. </w:t>
      </w:r>
    </w:p>
    <w:p w:rsidR="00D8189C" w:rsidRPr="00747E25" w:rsidRDefault="00BA55EE" w:rsidP="00BA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E25">
        <w:rPr>
          <w:rFonts w:ascii="Times New Roman" w:hAnsi="Times New Roman" w:cs="Times New Roman"/>
          <w:sz w:val="24"/>
          <w:szCs w:val="24"/>
        </w:rPr>
        <w:t xml:space="preserve">В оценке качества финансового менеджмента по данному показателю не участвуют Дума города Югорска, </w:t>
      </w:r>
      <w:r w:rsidR="00D8189C" w:rsidRPr="00747E25">
        <w:rPr>
          <w:rFonts w:ascii="Times New Roman" w:hAnsi="Times New Roman" w:cs="Times New Roman"/>
          <w:sz w:val="24"/>
          <w:szCs w:val="24"/>
        </w:rPr>
        <w:t>Управлени</w:t>
      </w:r>
      <w:r w:rsidRPr="00747E25">
        <w:rPr>
          <w:rFonts w:ascii="Times New Roman" w:hAnsi="Times New Roman" w:cs="Times New Roman"/>
          <w:sz w:val="24"/>
          <w:szCs w:val="24"/>
        </w:rPr>
        <w:t>е</w:t>
      </w:r>
      <w:r w:rsidR="00D8189C" w:rsidRPr="00747E25">
        <w:rPr>
          <w:rFonts w:ascii="Times New Roman" w:hAnsi="Times New Roman" w:cs="Times New Roman"/>
          <w:sz w:val="24"/>
          <w:szCs w:val="24"/>
        </w:rPr>
        <w:t xml:space="preserve"> экономической политики (</w:t>
      </w:r>
      <w:r w:rsidRPr="00747E25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="00D8189C" w:rsidRPr="00747E25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</w:t>
      </w:r>
      <w:r w:rsidRPr="00747E25">
        <w:rPr>
          <w:rFonts w:ascii="Times New Roman" w:hAnsi="Times New Roman" w:cs="Times New Roman"/>
          <w:sz w:val="24"/>
          <w:szCs w:val="24"/>
        </w:rPr>
        <w:t>, т.к. они не являются ответственными исполнителями муниципальных программ города Югорска</w:t>
      </w:r>
      <w:r w:rsidR="00D8189C" w:rsidRPr="00747E25">
        <w:rPr>
          <w:rFonts w:ascii="Times New Roman" w:hAnsi="Times New Roman" w:cs="Times New Roman"/>
          <w:sz w:val="24"/>
          <w:szCs w:val="24"/>
        </w:rPr>
        <w:t>.</w:t>
      </w:r>
    </w:p>
    <w:p w:rsidR="00BA55EE" w:rsidRPr="00747E25" w:rsidRDefault="00D8189C" w:rsidP="00BA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E25">
        <w:rPr>
          <w:rFonts w:ascii="Times New Roman" w:hAnsi="Times New Roman" w:cs="Times New Roman"/>
          <w:sz w:val="24"/>
          <w:szCs w:val="24"/>
        </w:rPr>
        <w:t xml:space="preserve">Значение показателя по остальным ГАБС составило </w:t>
      </w:r>
      <w:r w:rsidR="00E07420" w:rsidRPr="00747E25">
        <w:rPr>
          <w:rFonts w:ascii="Times New Roman" w:hAnsi="Times New Roman" w:cs="Times New Roman"/>
          <w:sz w:val="24"/>
          <w:szCs w:val="24"/>
        </w:rPr>
        <w:t>99</w:t>
      </w:r>
      <w:r w:rsidRPr="00747E25">
        <w:rPr>
          <w:rFonts w:ascii="Times New Roman" w:hAnsi="Times New Roman" w:cs="Times New Roman"/>
          <w:sz w:val="24"/>
          <w:szCs w:val="24"/>
        </w:rPr>
        <w:t xml:space="preserve">,0 баллов </w:t>
      </w:r>
      <w:r w:rsidR="00BA55EE" w:rsidRPr="00747E25">
        <w:rPr>
          <w:rFonts w:ascii="Times New Roman" w:hAnsi="Times New Roman" w:cs="Times New Roman"/>
          <w:sz w:val="24"/>
          <w:szCs w:val="24"/>
        </w:rPr>
        <w:t>(в 201</w:t>
      </w:r>
      <w:r w:rsidR="00BD53EF" w:rsidRPr="00747E25">
        <w:rPr>
          <w:rFonts w:ascii="Times New Roman" w:hAnsi="Times New Roman" w:cs="Times New Roman"/>
          <w:sz w:val="24"/>
          <w:szCs w:val="24"/>
        </w:rPr>
        <w:t>5</w:t>
      </w:r>
      <w:r w:rsidR="00BA55EE" w:rsidRPr="00747E25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100,0 баллов).</w:t>
      </w:r>
      <w:r w:rsidR="00E07420" w:rsidRPr="00747E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CAF" w:rsidRPr="00747E25" w:rsidRDefault="00DD0CAF" w:rsidP="00BA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E25">
        <w:rPr>
          <w:rFonts w:ascii="Times New Roman" w:hAnsi="Times New Roman" w:cs="Times New Roman"/>
          <w:sz w:val="24"/>
          <w:szCs w:val="24"/>
        </w:rPr>
        <w:t>Оценка показателя по Управлению социальной политики самая низкая и составила 92 балла (2 проекта постановления администрации города Югорска о внесении изменений в утвержденные муниципальные программы города Югорска получили отрицательные заключения управления экономической политики администрации города Югорска).</w:t>
      </w:r>
    </w:p>
    <w:p w:rsidR="00D8189C" w:rsidRPr="00747E25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E25">
        <w:rPr>
          <w:rFonts w:ascii="Times New Roman" w:hAnsi="Times New Roman" w:cs="Times New Roman"/>
          <w:sz w:val="24"/>
          <w:szCs w:val="24"/>
        </w:rPr>
        <w:t>11) Показатель 1.11</w:t>
      </w:r>
      <w:r w:rsidR="00444661" w:rsidRPr="00747E25">
        <w:rPr>
          <w:rFonts w:ascii="Times New Roman" w:hAnsi="Times New Roman" w:cs="Times New Roman"/>
          <w:sz w:val="24"/>
          <w:szCs w:val="24"/>
        </w:rPr>
        <w:t>.</w:t>
      </w:r>
      <w:r w:rsidRPr="00747E2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47E25">
        <w:rPr>
          <w:rFonts w:ascii="Times New Roman" w:hAnsi="Times New Roman" w:cs="Times New Roman"/>
          <w:sz w:val="24"/>
          <w:szCs w:val="24"/>
        </w:rPr>
        <w:t>«Доля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Югорска, получивших в департаменте финансов положительное заключение при первичной экспертизе от общего количества проектов муниципальных программ города Югорска и проектов постановлений администрации города Югорска о внесении изменений в утвержденные муниципальные программы города Югорска».</w:t>
      </w:r>
      <w:proofErr w:type="gramEnd"/>
    </w:p>
    <w:p w:rsidR="00D8189C" w:rsidRPr="00747E25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47E25">
        <w:rPr>
          <w:rFonts w:ascii="Times New Roman" w:hAnsi="Times New Roman" w:cs="Times New Roman"/>
          <w:sz w:val="24"/>
          <w:szCs w:val="24"/>
        </w:rPr>
        <w:t>Показатель характеризует качество подготовки ГРБС проектов муниципальных программ города Югорска, проектов постановлений администрации города Югорска о внесении изменений в утвержденные муниципальные программы города Югорска.</w:t>
      </w:r>
    </w:p>
    <w:p w:rsidR="00BA55EE" w:rsidRPr="00747E25" w:rsidRDefault="00BA55EE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7E25">
        <w:rPr>
          <w:rFonts w:ascii="Times New Roman" w:hAnsi="Times New Roman" w:cs="Times New Roman"/>
          <w:sz w:val="24"/>
          <w:szCs w:val="24"/>
        </w:rPr>
        <w:t>В оценке качества финансового менеджмента по данному показателю не участвуют Дума города Югорска, Управление экономической политики (в отношении 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самоуправления», т.к. они не являются ответственными исполнителями муниципальных программ города Югорска.</w:t>
      </w:r>
    </w:p>
    <w:p w:rsidR="00D8189C" w:rsidRPr="00B516EC" w:rsidRDefault="00BA55EE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EC">
        <w:rPr>
          <w:rFonts w:ascii="Times New Roman" w:hAnsi="Times New Roman" w:cs="Times New Roman"/>
          <w:sz w:val="24"/>
          <w:szCs w:val="24"/>
        </w:rPr>
        <w:t xml:space="preserve">Оценка показателя по Управлению </w:t>
      </w:r>
      <w:r w:rsidR="00DD0CAF" w:rsidRPr="00B516EC">
        <w:rPr>
          <w:rFonts w:ascii="Times New Roman" w:hAnsi="Times New Roman" w:cs="Times New Roman"/>
          <w:sz w:val="24"/>
          <w:szCs w:val="24"/>
        </w:rPr>
        <w:t>культуры</w:t>
      </w:r>
      <w:r w:rsidRPr="00B516EC">
        <w:rPr>
          <w:rFonts w:ascii="Times New Roman" w:hAnsi="Times New Roman" w:cs="Times New Roman"/>
          <w:sz w:val="24"/>
          <w:szCs w:val="24"/>
        </w:rPr>
        <w:t xml:space="preserve"> самая низкая и составила </w:t>
      </w:r>
      <w:r w:rsidR="00DD0CAF" w:rsidRPr="00B516EC">
        <w:rPr>
          <w:rFonts w:ascii="Times New Roman" w:hAnsi="Times New Roman" w:cs="Times New Roman"/>
          <w:sz w:val="24"/>
          <w:szCs w:val="24"/>
        </w:rPr>
        <w:t>70</w:t>
      </w:r>
      <w:r w:rsidRPr="00B516EC">
        <w:rPr>
          <w:rFonts w:ascii="Times New Roman" w:hAnsi="Times New Roman" w:cs="Times New Roman"/>
          <w:sz w:val="24"/>
          <w:szCs w:val="24"/>
        </w:rPr>
        <w:t xml:space="preserve"> балл</w:t>
      </w:r>
      <w:r w:rsidR="00DD0CAF" w:rsidRPr="00B516EC">
        <w:rPr>
          <w:rFonts w:ascii="Times New Roman" w:hAnsi="Times New Roman" w:cs="Times New Roman"/>
          <w:sz w:val="24"/>
          <w:szCs w:val="24"/>
        </w:rPr>
        <w:t>ов</w:t>
      </w:r>
      <w:r w:rsidRPr="00B516EC">
        <w:rPr>
          <w:rFonts w:ascii="Times New Roman" w:hAnsi="Times New Roman" w:cs="Times New Roman"/>
          <w:sz w:val="24"/>
          <w:szCs w:val="24"/>
        </w:rPr>
        <w:t xml:space="preserve"> (3 проекта постановления администрации города Югорска о внесении изменений в утвержденные муниципальные программы города Югорска получили отрицательные заключения </w:t>
      </w:r>
      <w:r w:rsidR="002440F4" w:rsidRPr="00B516EC">
        <w:rPr>
          <w:rFonts w:ascii="Times New Roman" w:hAnsi="Times New Roman" w:cs="Times New Roman"/>
          <w:sz w:val="24"/>
          <w:szCs w:val="24"/>
        </w:rPr>
        <w:t>Д</w:t>
      </w:r>
      <w:r w:rsidRPr="00B516EC">
        <w:rPr>
          <w:rFonts w:ascii="Times New Roman" w:hAnsi="Times New Roman" w:cs="Times New Roman"/>
          <w:sz w:val="24"/>
          <w:szCs w:val="24"/>
        </w:rPr>
        <w:t xml:space="preserve">епартамента финансов). </w:t>
      </w:r>
      <w:r w:rsidR="00D8189C" w:rsidRPr="00B516EC">
        <w:rPr>
          <w:rFonts w:ascii="Times New Roman" w:hAnsi="Times New Roman" w:cs="Times New Roman"/>
          <w:sz w:val="24"/>
          <w:szCs w:val="24"/>
        </w:rPr>
        <w:t xml:space="preserve">Оценка показателя по Департаменту муниципальной собственности и градостроительства составила </w:t>
      </w:r>
      <w:r w:rsidR="00DD0CAF" w:rsidRPr="00B516EC">
        <w:rPr>
          <w:rFonts w:ascii="Times New Roman" w:hAnsi="Times New Roman" w:cs="Times New Roman"/>
          <w:sz w:val="24"/>
          <w:szCs w:val="24"/>
        </w:rPr>
        <w:t>89,5</w:t>
      </w:r>
      <w:r w:rsidR="00D8189C" w:rsidRPr="00B516EC">
        <w:rPr>
          <w:rFonts w:ascii="Times New Roman" w:hAnsi="Times New Roman" w:cs="Times New Roman"/>
          <w:sz w:val="24"/>
          <w:szCs w:val="24"/>
        </w:rPr>
        <w:t xml:space="preserve"> баллов </w:t>
      </w:r>
      <w:r w:rsidRPr="00B516EC">
        <w:rPr>
          <w:rFonts w:ascii="Times New Roman" w:hAnsi="Times New Roman" w:cs="Times New Roman"/>
          <w:sz w:val="24"/>
          <w:szCs w:val="24"/>
        </w:rPr>
        <w:t>(</w:t>
      </w:r>
      <w:r w:rsidR="00DD0CAF" w:rsidRPr="00B516EC">
        <w:rPr>
          <w:rFonts w:ascii="Times New Roman" w:hAnsi="Times New Roman" w:cs="Times New Roman"/>
          <w:sz w:val="24"/>
          <w:szCs w:val="24"/>
        </w:rPr>
        <w:t>2</w:t>
      </w:r>
      <w:r w:rsidR="00D8189C" w:rsidRPr="00B516EC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DD0CAF" w:rsidRPr="00B516EC">
        <w:rPr>
          <w:rFonts w:ascii="Times New Roman" w:hAnsi="Times New Roman" w:cs="Times New Roman"/>
          <w:sz w:val="24"/>
          <w:szCs w:val="24"/>
        </w:rPr>
        <w:t>а</w:t>
      </w:r>
      <w:r w:rsidR="00D8189C" w:rsidRPr="00B516EC">
        <w:rPr>
          <w:rFonts w:ascii="Times New Roman" w:hAnsi="Times New Roman" w:cs="Times New Roman"/>
          <w:sz w:val="24"/>
          <w:szCs w:val="24"/>
        </w:rPr>
        <w:t xml:space="preserve"> </w:t>
      </w:r>
      <w:r w:rsidRPr="00B516EC">
        <w:rPr>
          <w:rFonts w:ascii="Times New Roman" w:hAnsi="Times New Roman" w:cs="Times New Roman"/>
          <w:sz w:val="24"/>
          <w:szCs w:val="24"/>
        </w:rPr>
        <w:t xml:space="preserve">постановления администрации города </w:t>
      </w:r>
      <w:r w:rsidRPr="00B516EC">
        <w:rPr>
          <w:rFonts w:ascii="Times New Roman" w:hAnsi="Times New Roman" w:cs="Times New Roman"/>
          <w:sz w:val="24"/>
          <w:szCs w:val="24"/>
        </w:rPr>
        <w:lastRenderedPageBreak/>
        <w:t xml:space="preserve">Югорска о внесении изменений в утвержденные муниципальные программы города Югорска </w:t>
      </w:r>
      <w:r w:rsidR="00D8189C" w:rsidRPr="00B516EC">
        <w:rPr>
          <w:rFonts w:ascii="Times New Roman" w:hAnsi="Times New Roman" w:cs="Times New Roman"/>
          <w:sz w:val="24"/>
          <w:szCs w:val="24"/>
        </w:rPr>
        <w:t>не получил</w:t>
      </w:r>
      <w:r w:rsidR="00DD0CAF" w:rsidRPr="00B516EC">
        <w:rPr>
          <w:rFonts w:ascii="Times New Roman" w:hAnsi="Times New Roman" w:cs="Times New Roman"/>
          <w:sz w:val="24"/>
          <w:szCs w:val="24"/>
        </w:rPr>
        <w:t>и</w:t>
      </w:r>
      <w:r w:rsidR="00D8189C" w:rsidRPr="00B516EC">
        <w:rPr>
          <w:rFonts w:ascii="Times New Roman" w:hAnsi="Times New Roman" w:cs="Times New Roman"/>
          <w:sz w:val="24"/>
          <w:szCs w:val="24"/>
        </w:rPr>
        <w:t xml:space="preserve"> положительного заключения при первичной экспертизе</w:t>
      </w:r>
      <w:r w:rsidRPr="00B516EC">
        <w:rPr>
          <w:rFonts w:ascii="Times New Roman" w:hAnsi="Times New Roman" w:cs="Times New Roman"/>
          <w:sz w:val="24"/>
          <w:szCs w:val="24"/>
        </w:rPr>
        <w:t>)</w:t>
      </w:r>
      <w:r w:rsidR="00D8189C" w:rsidRPr="00B516EC">
        <w:rPr>
          <w:rFonts w:ascii="Times New Roman" w:hAnsi="Times New Roman" w:cs="Times New Roman"/>
          <w:sz w:val="24"/>
          <w:szCs w:val="24"/>
        </w:rPr>
        <w:t>.</w:t>
      </w:r>
    </w:p>
    <w:p w:rsidR="00BA55EE" w:rsidRPr="00B516EC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EC">
        <w:rPr>
          <w:rFonts w:ascii="Times New Roman" w:hAnsi="Times New Roman" w:cs="Times New Roman"/>
          <w:sz w:val="24"/>
          <w:szCs w:val="24"/>
        </w:rPr>
        <w:t>Значение показателя по остальным Г</w:t>
      </w:r>
      <w:r w:rsidR="00BA55EE" w:rsidRPr="00B516EC">
        <w:rPr>
          <w:rFonts w:ascii="Times New Roman" w:hAnsi="Times New Roman" w:cs="Times New Roman"/>
          <w:sz w:val="24"/>
          <w:szCs w:val="24"/>
        </w:rPr>
        <w:t>Р</w:t>
      </w:r>
      <w:r w:rsidRPr="00B516EC">
        <w:rPr>
          <w:rFonts w:ascii="Times New Roman" w:hAnsi="Times New Roman" w:cs="Times New Roman"/>
          <w:sz w:val="24"/>
          <w:szCs w:val="24"/>
        </w:rPr>
        <w:t>БС составило 100,0</w:t>
      </w:r>
      <w:r w:rsidR="00BA55EE" w:rsidRPr="00B516EC">
        <w:rPr>
          <w:rFonts w:ascii="Times New Roman" w:hAnsi="Times New Roman" w:cs="Times New Roman"/>
          <w:sz w:val="24"/>
          <w:szCs w:val="24"/>
        </w:rPr>
        <w:t xml:space="preserve"> баллов (максимальное значение).</w:t>
      </w:r>
    </w:p>
    <w:p w:rsidR="00BA55EE" w:rsidRPr="00B516EC" w:rsidRDefault="00BA55EE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EC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 9</w:t>
      </w:r>
      <w:r w:rsidR="00DD0CAF" w:rsidRPr="00B516EC">
        <w:rPr>
          <w:rFonts w:ascii="Times New Roman" w:hAnsi="Times New Roman" w:cs="Times New Roman"/>
          <w:sz w:val="24"/>
          <w:szCs w:val="24"/>
        </w:rPr>
        <w:t>4</w:t>
      </w:r>
      <w:r w:rsidRPr="00B516EC">
        <w:rPr>
          <w:rFonts w:ascii="Times New Roman" w:hAnsi="Times New Roman" w:cs="Times New Roman"/>
          <w:sz w:val="24"/>
          <w:szCs w:val="24"/>
        </w:rPr>
        <w:t>,</w:t>
      </w:r>
      <w:r w:rsidR="00DD0CAF" w:rsidRPr="00B516EC">
        <w:rPr>
          <w:rFonts w:ascii="Times New Roman" w:hAnsi="Times New Roman" w:cs="Times New Roman"/>
          <w:sz w:val="24"/>
          <w:szCs w:val="24"/>
        </w:rPr>
        <w:t>2</w:t>
      </w:r>
      <w:r w:rsidRPr="00B516EC">
        <w:rPr>
          <w:rFonts w:ascii="Times New Roman" w:hAnsi="Times New Roman" w:cs="Times New Roman"/>
          <w:sz w:val="24"/>
          <w:szCs w:val="24"/>
        </w:rPr>
        <w:t xml:space="preserve"> балла, что ниже уровня за 201</w:t>
      </w:r>
      <w:r w:rsidR="0098349A" w:rsidRPr="00B516EC">
        <w:rPr>
          <w:rFonts w:ascii="Times New Roman" w:hAnsi="Times New Roman" w:cs="Times New Roman"/>
          <w:sz w:val="24"/>
          <w:szCs w:val="24"/>
        </w:rPr>
        <w:t>5</w:t>
      </w:r>
      <w:r w:rsidRPr="00B516EC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DD0CAF" w:rsidRPr="00B516EC">
        <w:rPr>
          <w:rFonts w:ascii="Times New Roman" w:hAnsi="Times New Roman" w:cs="Times New Roman"/>
          <w:sz w:val="24"/>
          <w:szCs w:val="24"/>
        </w:rPr>
        <w:t>3,1</w:t>
      </w:r>
      <w:r w:rsidRPr="00B516EC">
        <w:rPr>
          <w:rFonts w:ascii="Times New Roman" w:hAnsi="Times New Roman" w:cs="Times New Roman"/>
          <w:sz w:val="24"/>
          <w:szCs w:val="24"/>
        </w:rPr>
        <w:t xml:space="preserve"> балл</w:t>
      </w:r>
      <w:r w:rsidR="00A843FD">
        <w:rPr>
          <w:rFonts w:ascii="Times New Roman" w:hAnsi="Times New Roman" w:cs="Times New Roman"/>
          <w:sz w:val="24"/>
          <w:szCs w:val="24"/>
        </w:rPr>
        <w:t>ов</w:t>
      </w:r>
      <w:r w:rsidRPr="00B516EC">
        <w:rPr>
          <w:rFonts w:ascii="Times New Roman" w:hAnsi="Times New Roman" w:cs="Times New Roman"/>
          <w:sz w:val="24"/>
          <w:szCs w:val="24"/>
        </w:rPr>
        <w:t xml:space="preserve"> (в 201</w:t>
      </w:r>
      <w:r w:rsidR="0098349A" w:rsidRPr="00B516EC">
        <w:rPr>
          <w:rFonts w:ascii="Times New Roman" w:hAnsi="Times New Roman" w:cs="Times New Roman"/>
          <w:sz w:val="24"/>
          <w:szCs w:val="24"/>
        </w:rPr>
        <w:t>5</w:t>
      </w:r>
      <w:r w:rsidRPr="00B516E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9</w:t>
      </w:r>
      <w:r w:rsidR="0098349A" w:rsidRPr="00B516EC">
        <w:rPr>
          <w:rFonts w:ascii="Times New Roman" w:hAnsi="Times New Roman" w:cs="Times New Roman"/>
          <w:sz w:val="24"/>
          <w:szCs w:val="24"/>
        </w:rPr>
        <w:t>7,3</w:t>
      </w:r>
      <w:r w:rsidRPr="00B516EC">
        <w:rPr>
          <w:rFonts w:ascii="Times New Roman" w:hAnsi="Times New Roman" w:cs="Times New Roman"/>
          <w:sz w:val="24"/>
          <w:szCs w:val="24"/>
        </w:rPr>
        <w:t xml:space="preserve"> балл</w:t>
      </w:r>
      <w:r w:rsidR="00A843FD">
        <w:rPr>
          <w:rFonts w:ascii="Times New Roman" w:hAnsi="Times New Roman" w:cs="Times New Roman"/>
          <w:sz w:val="24"/>
          <w:szCs w:val="24"/>
        </w:rPr>
        <w:t>ов</w:t>
      </w:r>
      <w:r w:rsidRPr="00B516E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B516EC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EC">
        <w:rPr>
          <w:rFonts w:ascii="Times New Roman" w:hAnsi="Times New Roman" w:cs="Times New Roman"/>
          <w:sz w:val="24"/>
          <w:szCs w:val="24"/>
        </w:rPr>
        <w:t>12) Показатель 1.12</w:t>
      </w:r>
      <w:r w:rsidR="00CB0148" w:rsidRPr="00B516EC">
        <w:rPr>
          <w:rFonts w:ascii="Times New Roman" w:hAnsi="Times New Roman" w:cs="Times New Roman"/>
          <w:sz w:val="24"/>
          <w:szCs w:val="24"/>
        </w:rPr>
        <w:t>.</w:t>
      </w:r>
      <w:r w:rsidRPr="00B516EC">
        <w:rPr>
          <w:rFonts w:ascii="Times New Roman" w:hAnsi="Times New Roman" w:cs="Times New Roman"/>
          <w:sz w:val="24"/>
          <w:szCs w:val="24"/>
        </w:rPr>
        <w:t xml:space="preserve"> «Качество планирования расходов: доля суммы изменений в сводную бюджетную роспись и бюджетную роспись ГРБС за счет перераспределения ассигнований внутри ГРБС».</w:t>
      </w:r>
    </w:p>
    <w:p w:rsidR="00FD4707" w:rsidRPr="00B516EC" w:rsidRDefault="00FD4707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516EC">
        <w:rPr>
          <w:rFonts w:ascii="Times New Roman" w:hAnsi="Times New Roman" w:cs="Times New Roman"/>
          <w:sz w:val="24"/>
          <w:szCs w:val="24"/>
        </w:rPr>
        <w:t>При расчете показателя учитывалась общая сумма ассигнований в уведомлениях об изменении ассигнований в отчетном периоде в случае увеличения бюджетных ассигнований за счет передвижки по разделам, подразделам, КЦСР, КВР, КОСГУ и дополнительным кодам расходов на основании обращений ГРБС, не связанной с изменением бюджетной классификации расходов и дополнительным выделением бюджетных ассигнований в связи с уточнением бюджета города</w:t>
      </w:r>
      <w:r w:rsidR="002440F4" w:rsidRPr="00B516EC">
        <w:rPr>
          <w:rFonts w:ascii="Times New Roman" w:hAnsi="Times New Roman" w:cs="Times New Roman"/>
          <w:sz w:val="24"/>
          <w:szCs w:val="24"/>
        </w:rPr>
        <w:t>,</w:t>
      </w:r>
      <w:r w:rsidRPr="00B516EC">
        <w:rPr>
          <w:rFonts w:ascii="Times New Roman" w:hAnsi="Times New Roman" w:cs="Times New Roman"/>
          <w:sz w:val="24"/>
          <w:szCs w:val="24"/>
        </w:rPr>
        <w:t xml:space="preserve"> внесенных в сводную бюджетную роспись</w:t>
      </w:r>
      <w:proofErr w:type="gramEnd"/>
      <w:r w:rsidRPr="00B516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16EC">
        <w:rPr>
          <w:rFonts w:ascii="Times New Roman" w:hAnsi="Times New Roman" w:cs="Times New Roman"/>
          <w:sz w:val="24"/>
          <w:szCs w:val="24"/>
        </w:rPr>
        <w:t xml:space="preserve">и бюджетные росписи ГАБС </w:t>
      </w:r>
      <w:r w:rsidR="002440F4" w:rsidRPr="00B516EC">
        <w:rPr>
          <w:rFonts w:ascii="Times New Roman" w:hAnsi="Times New Roman" w:cs="Times New Roman"/>
          <w:sz w:val="24"/>
          <w:szCs w:val="24"/>
        </w:rPr>
        <w:t>в соответствии со статьей 217 Бюджетного кодекса</w:t>
      </w:r>
      <w:r w:rsidRPr="00B516EC">
        <w:rPr>
          <w:rFonts w:ascii="Times New Roman" w:hAnsi="Times New Roman" w:cs="Times New Roman"/>
          <w:sz w:val="24"/>
          <w:szCs w:val="24"/>
        </w:rPr>
        <w:t xml:space="preserve"> Р</w:t>
      </w:r>
      <w:r w:rsidR="002440F4" w:rsidRPr="00B516EC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B516EC">
        <w:rPr>
          <w:rFonts w:ascii="Times New Roman" w:hAnsi="Times New Roman" w:cs="Times New Roman"/>
          <w:sz w:val="24"/>
          <w:szCs w:val="24"/>
        </w:rPr>
        <w:t>Ф</w:t>
      </w:r>
      <w:r w:rsidR="002440F4" w:rsidRPr="00B516EC">
        <w:rPr>
          <w:rFonts w:ascii="Times New Roman" w:hAnsi="Times New Roman" w:cs="Times New Roman"/>
          <w:sz w:val="24"/>
          <w:szCs w:val="24"/>
        </w:rPr>
        <w:t>едерации</w:t>
      </w:r>
      <w:r w:rsidRPr="00B516EC">
        <w:rPr>
          <w:rFonts w:ascii="Times New Roman" w:hAnsi="Times New Roman" w:cs="Times New Roman"/>
          <w:sz w:val="24"/>
          <w:szCs w:val="24"/>
        </w:rPr>
        <w:t xml:space="preserve">, </w:t>
      </w:r>
      <w:r w:rsidRPr="00B516EC">
        <w:rPr>
          <w:rFonts w:ascii="Times New Roman" w:hAnsi="Times New Roman" w:cs="Times New Roman"/>
          <w:bCs/>
          <w:sz w:val="24"/>
        </w:rPr>
        <w:t xml:space="preserve">Порядком составления и ведения сводной бюджетной </w:t>
      </w:r>
      <w:r w:rsidR="007A41BE" w:rsidRPr="00B516EC">
        <w:rPr>
          <w:rFonts w:ascii="Times New Roman" w:hAnsi="Times New Roman" w:cs="Times New Roman"/>
          <w:bCs/>
          <w:sz w:val="24"/>
        </w:rPr>
        <w:t>росписи бюджета города Югорска,</w:t>
      </w:r>
      <w:r w:rsidRPr="00B516EC">
        <w:rPr>
          <w:rFonts w:ascii="Times New Roman" w:hAnsi="Times New Roman" w:cs="Times New Roman"/>
          <w:bCs/>
          <w:sz w:val="24"/>
        </w:rPr>
        <w:t xml:space="preserve"> бюджетных росписей главных распорядителей средств бюджета города Югорска (главных администраторов источников финансирования дефицита бюджета города Югорска)</w:t>
      </w:r>
      <w:r w:rsidR="007A41BE" w:rsidRPr="00B516EC">
        <w:rPr>
          <w:rFonts w:ascii="Times New Roman" w:hAnsi="Times New Roman" w:cs="Times New Roman"/>
          <w:bCs/>
          <w:sz w:val="24"/>
        </w:rPr>
        <w:t xml:space="preserve"> и лимитов бюджетных обязательств города Югорска</w:t>
      </w:r>
      <w:r w:rsidRPr="00B516EC">
        <w:rPr>
          <w:rFonts w:ascii="Times New Roman" w:hAnsi="Times New Roman" w:cs="Times New Roman"/>
          <w:sz w:val="24"/>
          <w:szCs w:val="24"/>
        </w:rPr>
        <w:t xml:space="preserve">, утвержденным приказом </w:t>
      </w:r>
      <w:r w:rsidR="002440F4" w:rsidRPr="00B516EC">
        <w:rPr>
          <w:rFonts w:ascii="Times New Roman" w:hAnsi="Times New Roman" w:cs="Times New Roman"/>
          <w:sz w:val="24"/>
          <w:szCs w:val="24"/>
        </w:rPr>
        <w:t>Д</w:t>
      </w:r>
      <w:r w:rsidRPr="00B516EC">
        <w:rPr>
          <w:rFonts w:ascii="Times New Roman" w:hAnsi="Times New Roman" w:cs="Times New Roman"/>
          <w:sz w:val="24"/>
          <w:szCs w:val="24"/>
        </w:rPr>
        <w:t xml:space="preserve">епартамента финансов администрации города Югорска от </w:t>
      </w:r>
      <w:r w:rsidR="007A41BE" w:rsidRPr="00B516EC">
        <w:rPr>
          <w:rFonts w:ascii="Times New Roman" w:hAnsi="Times New Roman" w:cs="Times New Roman"/>
          <w:sz w:val="24"/>
          <w:szCs w:val="24"/>
        </w:rPr>
        <w:t>28</w:t>
      </w:r>
      <w:r w:rsidRPr="00B516EC">
        <w:rPr>
          <w:rFonts w:ascii="Times New Roman" w:hAnsi="Times New Roman" w:cs="Times New Roman"/>
          <w:sz w:val="24"/>
          <w:szCs w:val="24"/>
        </w:rPr>
        <w:t>.12.201</w:t>
      </w:r>
      <w:r w:rsidR="007A41BE" w:rsidRPr="00B516EC">
        <w:rPr>
          <w:rFonts w:ascii="Times New Roman" w:hAnsi="Times New Roman" w:cs="Times New Roman"/>
          <w:sz w:val="24"/>
          <w:szCs w:val="24"/>
        </w:rPr>
        <w:t>5 № 44п (с изменениями от 01</w:t>
      </w:r>
      <w:r w:rsidRPr="00B516EC">
        <w:rPr>
          <w:rFonts w:ascii="Times New Roman" w:hAnsi="Times New Roman" w:cs="Times New Roman"/>
          <w:sz w:val="24"/>
          <w:szCs w:val="24"/>
        </w:rPr>
        <w:t>.</w:t>
      </w:r>
      <w:r w:rsidR="007A41BE" w:rsidRPr="00B516EC">
        <w:rPr>
          <w:rFonts w:ascii="Times New Roman" w:hAnsi="Times New Roman" w:cs="Times New Roman"/>
          <w:sz w:val="24"/>
          <w:szCs w:val="24"/>
        </w:rPr>
        <w:t>06</w:t>
      </w:r>
      <w:r w:rsidRPr="00B516EC">
        <w:rPr>
          <w:rFonts w:ascii="Times New Roman" w:hAnsi="Times New Roman" w:cs="Times New Roman"/>
          <w:sz w:val="24"/>
          <w:szCs w:val="24"/>
        </w:rPr>
        <w:t>.201</w:t>
      </w:r>
      <w:r w:rsidR="007A41BE" w:rsidRPr="00B516EC">
        <w:rPr>
          <w:rFonts w:ascii="Times New Roman" w:hAnsi="Times New Roman" w:cs="Times New Roman"/>
          <w:sz w:val="24"/>
          <w:szCs w:val="24"/>
        </w:rPr>
        <w:t>6</w:t>
      </w:r>
      <w:r w:rsidRPr="00B516EC">
        <w:rPr>
          <w:rFonts w:ascii="Times New Roman" w:hAnsi="Times New Roman" w:cs="Times New Roman"/>
          <w:sz w:val="24"/>
          <w:szCs w:val="24"/>
        </w:rPr>
        <w:t>), в</w:t>
      </w:r>
      <w:proofErr w:type="gramEnd"/>
      <w:r w:rsidRPr="00B516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516EC">
        <w:rPr>
          <w:rFonts w:ascii="Times New Roman" w:hAnsi="Times New Roman" w:cs="Times New Roman"/>
          <w:sz w:val="24"/>
          <w:szCs w:val="24"/>
        </w:rPr>
        <w:t>общем</w:t>
      </w:r>
      <w:proofErr w:type="gramEnd"/>
      <w:r w:rsidRPr="00B516EC">
        <w:rPr>
          <w:rFonts w:ascii="Times New Roman" w:hAnsi="Times New Roman" w:cs="Times New Roman"/>
          <w:sz w:val="24"/>
          <w:szCs w:val="24"/>
        </w:rPr>
        <w:t xml:space="preserve"> объеме утвержденных бюджетных ассигнований по ГАБС.</w:t>
      </w:r>
    </w:p>
    <w:p w:rsidR="00FB7643" w:rsidRPr="00B516EC" w:rsidRDefault="00FB7643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516EC">
        <w:rPr>
          <w:rFonts w:ascii="Times New Roman" w:hAnsi="Times New Roman" w:cs="Times New Roman"/>
          <w:sz w:val="24"/>
          <w:szCs w:val="24"/>
        </w:rPr>
        <w:t>Большое количество оформленных справок о внесении изменений в сводную бюджетную роспись бюджета города Югорска и значительные суммы изменений бюджетных ассигнований свидетельствуют о некачественном планировании ГРБС соответствующих расходов.</w:t>
      </w:r>
      <w:r w:rsidR="00711B84" w:rsidRPr="00B516EC">
        <w:rPr>
          <w:rFonts w:ascii="Times New Roman" w:hAnsi="Times New Roman" w:cs="Times New Roman"/>
          <w:sz w:val="24"/>
          <w:szCs w:val="24"/>
        </w:rPr>
        <w:t xml:space="preserve"> Целевым ориентиром для ГРБС является минимальный объём вносимых изменений в сводную бюджетную роспись и бюджетную роспись ГРБС.</w:t>
      </w:r>
    </w:p>
    <w:p w:rsidR="00711B84" w:rsidRPr="00B516EC" w:rsidRDefault="00711B84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516EC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 96,</w:t>
      </w:r>
      <w:r w:rsidR="00BB2C6F" w:rsidRPr="00B516EC">
        <w:rPr>
          <w:rFonts w:ascii="Times New Roman" w:hAnsi="Times New Roman" w:cs="Times New Roman"/>
          <w:sz w:val="24"/>
          <w:szCs w:val="24"/>
        </w:rPr>
        <w:t>0</w:t>
      </w:r>
      <w:r w:rsidRPr="00B516EC">
        <w:rPr>
          <w:rFonts w:ascii="Times New Roman" w:hAnsi="Times New Roman" w:cs="Times New Roman"/>
          <w:sz w:val="24"/>
          <w:szCs w:val="24"/>
        </w:rPr>
        <w:t xml:space="preserve"> балл</w:t>
      </w:r>
      <w:r w:rsidR="00A843FD">
        <w:rPr>
          <w:rFonts w:ascii="Times New Roman" w:hAnsi="Times New Roman" w:cs="Times New Roman"/>
          <w:sz w:val="24"/>
          <w:szCs w:val="24"/>
        </w:rPr>
        <w:t>ов</w:t>
      </w:r>
      <w:r w:rsidRPr="00B516EC">
        <w:rPr>
          <w:rFonts w:ascii="Times New Roman" w:hAnsi="Times New Roman" w:cs="Times New Roman"/>
          <w:sz w:val="24"/>
          <w:szCs w:val="24"/>
        </w:rPr>
        <w:t xml:space="preserve">, что </w:t>
      </w:r>
      <w:r w:rsidR="00BB2C6F" w:rsidRPr="00B516EC">
        <w:rPr>
          <w:rFonts w:ascii="Times New Roman" w:hAnsi="Times New Roman" w:cs="Times New Roman"/>
          <w:sz w:val="24"/>
          <w:szCs w:val="24"/>
        </w:rPr>
        <w:t>ниже</w:t>
      </w:r>
      <w:r w:rsidRPr="00B516EC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A72948" w:rsidRPr="00B516EC">
        <w:rPr>
          <w:rFonts w:ascii="Times New Roman" w:hAnsi="Times New Roman" w:cs="Times New Roman"/>
          <w:sz w:val="24"/>
          <w:szCs w:val="24"/>
        </w:rPr>
        <w:t>5</w:t>
      </w:r>
      <w:r w:rsidRPr="00B516EC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BB2C6F" w:rsidRPr="00B516EC">
        <w:rPr>
          <w:rFonts w:ascii="Times New Roman" w:hAnsi="Times New Roman" w:cs="Times New Roman"/>
          <w:sz w:val="24"/>
          <w:szCs w:val="24"/>
        </w:rPr>
        <w:t>0</w:t>
      </w:r>
      <w:r w:rsidRPr="00B516EC">
        <w:rPr>
          <w:rFonts w:ascii="Times New Roman" w:hAnsi="Times New Roman" w:cs="Times New Roman"/>
          <w:sz w:val="24"/>
          <w:szCs w:val="24"/>
        </w:rPr>
        <w:t>,</w:t>
      </w:r>
      <w:r w:rsidR="00BB2C6F" w:rsidRPr="00B516EC">
        <w:rPr>
          <w:rFonts w:ascii="Times New Roman" w:hAnsi="Times New Roman" w:cs="Times New Roman"/>
          <w:sz w:val="24"/>
          <w:szCs w:val="24"/>
        </w:rPr>
        <w:t>1</w:t>
      </w:r>
      <w:r w:rsidRPr="00B516EC">
        <w:rPr>
          <w:rFonts w:ascii="Times New Roman" w:hAnsi="Times New Roman" w:cs="Times New Roman"/>
          <w:sz w:val="24"/>
          <w:szCs w:val="24"/>
        </w:rPr>
        <w:t xml:space="preserve"> балла (в 201</w:t>
      </w:r>
      <w:r w:rsidR="00A72948" w:rsidRPr="00B516EC">
        <w:rPr>
          <w:rFonts w:ascii="Times New Roman" w:hAnsi="Times New Roman" w:cs="Times New Roman"/>
          <w:sz w:val="24"/>
          <w:szCs w:val="24"/>
        </w:rPr>
        <w:t>5</w:t>
      </w:r>
      <w:r w:rsidRPr="00B516E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9</w:t>
      </w:r>
      <w:r w:rsidR="00A72948" w:rsidRPr="00B516EC">
        <w:rPr>
          <w:rFonts w:ascii="Times New Roman" w:hAnsi="Times New Roman" w:cs="Times New Roman"/>
          <w:sz w:val="24"/>
          <w:szCs w:val="24"/>
        </w:rPr>
        <w:t>6,1</w:t>
      </w:r>
      <w:r w:rsidRPr="00B516EC">
        <w:rPr>
          <w:rFonts w:ascii="Times New Roman" w:hAnsi="Times New Roman" w:cs="Times New Roman"/>
          <w:sz w:val="24"/>
          <w:szCs w:val="24"/>
        </w:rPr>
        <w:t xml:space="preserve"> балл</w:t>
      </w:r>
      <w:r w:rsidR="00A843FD">
        <w:rPr>
          <w:rFonts w:ascii="Times New Roman" w:hAnsi="Times New Roman" w:cs="Times New Roman"/>
          <w:sz w:val="24"/>
          <w:szCs w:val="24"/>
        </w:rPr>
        <w:t>ов</w:t>
      </w:r>
      <w:r w:rsidRPr="00B516EC">
        <w:rPr>
          <w:rFonts w:ascii="Times New Roman" w:hAnsi="Times New Roman" w:cs="Times New Roman"/>
          <w:sz w:val="24"/>
          <w:szCs w:val="24"/>
        </w:rPr>
        <w:t>).</w:t>
      </w:r>
    </w:p>
    <w:p w:rsidR="00F83E95" w:rsidRPr="00A03498" w:rsidRDefault="00F83E95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498">
        <w:rPr>
          <w:rFonts w:ascii="Times New Roman" w:hAnsi="Times New Roman" w:cs="Times New Roman"/>
          <w:sz w:val="24"/>
          <w:szCs w:val="24"/>
        </w:rPr>
        <w:t xml:space="preserve">Наилучшие оценки </w:t>
      </w:r>
      <w:r w:rsidR="00D43FD6" w:rsidRPr="00A03498">
        <w:rPr>
          <w:rFonts w:ascii="Times New Roman" w:hAnsi="Times New Roman" w:cs="Times New Roman"/>
          <w:sz w:val="24"/>
          <w:szCs w:val="24"/>
        </w:rPr>
        <w:t xml:space="preserve">(выше среднего значения) </w:t>
      </w:r>
      <w:r w:rsidRPr="00A03498">
        <w:rPr>
          <w:rFonts w:ascii="Times New Roman" w:hAnsi="Times New Roman" w:cs="Times New Roman"/>
          <w:sz w:val="24"/>
          <w:szCs w:val="24"/>
        </w:rPr>
        <w:t>по данному показателю имеют</w:t>
      </w:r>
      <w:r w:rsidR="00BB2C6F" w:rsidRPr="00A03498">
        <w:rPr>
          <w:rFonts w:ascii="Times New Roman" w:hAnsi="Times New Roman" w:cs="Times New Roman"/>
          <w:sz w:val="24"/>
          <w:szCs w:val="24"/>
        </w:rPr>
        <w:t xml:space="preserve"> 5</w:t>
      </w:r>
      <w:r w:rsidR="00D43FD6" w:rsidRPr="00A03498">
        <w:rPr>
          <w:rFonts w:ascii="Times New Roman" w:hAnsi="Times New Roman" w:cs="Times New Roman"/>
          <w:sz w:val="24"/>
          <w:szCs w:val="24"/>
        </w:rPr>
        <w:t xml:space="preserve"> из 11 </w:t>
      </w:r>
      <w:proofErr w:type="gramStart"/>
      <w:r w:rsidR="00D43FD6" w:rsidRPr="00A03498">
        <w:rPr>
          <w:rFonts w:ascii="Times New Roman" w:hAnsi="Times New Roman" w:cs="Times New Roman"/>
          <w:sz w:val="24"/>
          <w:szCs w:val="24"/>
        </w:rPr>
        <w:t>оцениваемых</w:t>
      </w:r>
      <w:proofErr w:type="gramEnd"/>
      <w:r w:rsidR="00D43FD6" w:rsidRPr="00A03498">
        <w:rPr>
          <w:rFonts w:ascii="Times New Roman" w:hAnsi="Times New Roman" w:cs="Times New Roman"/>
          <w:sz w:val="24"/>
          <w:szCs w:val="24"/>
        </w:rPr>
        <w:t xml:space="preserve"> ГРБС: Департамент финансов, Администрация города Югорска, Управление экономической политики (в отношении МАУ «Многофункциональный центр предоставления государственных и муниципальных услуг»), Департамент муниципальной собственности и градостроительства, МКУ</w:t>
      </w:r>
      <w:r w:rsidR="00BB2C6F" w:rsidRPr="00A03498">
        <w:rPr>
          <w:rFonts w:ascii="Times New Roman" w:hAnsi="Times New Roman" w:cs="Times New Roman"/>
          <w:sz w:val="24"/>
          <w:szCs w:val="24"/>
        </w:rPr>
        <w:t xml:space="preserve"> «Централизованная бухгалтерия»</w:t>
      </w:r>
      <w:r w:rsidR="00D43FD6" w:rsidRPr="00A03498">
        <w:rPr>
          <w:rFonts w:ascii="Times New Roman" w:hAnsi="Times New Roman" w:cs="Times New Roman"/>
          <w:sz w:val="24"/>
          <w:szCs w:val="24"/>
        </w:rPr>
        <w:t xml:space="preserve">. Доля суммы ассигнований в уведомлениях об изменении ассигнований в отчетном периоде за счет перераспределения ассигнований внутри ГРБС в общем объеме бюджетных ассигнований данных ГРБС, согласно сводной бюджетной росписи с учетом внесенных в нее изменений по состоянию на конец отчетного периода составила менее </w:t>
      </w:r>
      <w:r w:rsidR="002949C4" w:rsidRPr="00A03498">
        <w:rPr>
          <w:rFonts w:ascii="Times New Roman" w:hAnsi="Times New Roman" w:cs="Times New Roman"/>
          <w:sz w:val="24"/>
          <w:szCs w:val="24"/>
        </w:rPr>
        <w:t>3</w:t>
      </w:r>
      <w:r w:rsidR="00D43FD6" w:rsidRPr="00A03498">
        <w:rPr>
          <w:rFonts w:ascii="Times New Roman" w:hAnsi="Times New Roman" w:cs="Times New Roman"/>
          <w:sz w:val="24"/>
          <w:szCs w:val="24"/>
        </w:rPr>
        <w:t xml:space="preserve"> %.</w:t>
      </w:r>
    </w:p>
    <w:p w:rsidR="00D43FD6" w:rsidRPr="00A03498" w:rsidRDefault="00D43FD6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498">
        <w:rPr>
          <w:rFonts w:ascii="Times New Roman" w:hAnsi="Times New Roman" w:cs="Times New Roman"/>
          <w:sz w:val="24"/>
          <w:szCs w:val="24"/>
        </w:rPr>
        <w:t xml:space="preserve">Наихудшая оценка присвоена </w:t>
      </w:r>
      <w:r w:rsidR="00BB2C6F" w:rsidRPr="00A03498">
        <w:rPr>
          <w:rFonts w:ascii="Times New Roman" w:hAnsi="Times New Roman" w:cs="Times New Roman"/>
          <w:sz w:val="24"/>
          <w:szCs w:val="24"/>
        </w:rPr>
        <w:t>Управлению культуры</w:t>
      </w:r>
      <w:r w:rsidRPr="00A03498">
        <w:rPr>
          <w:rFonts w:ascii="Times New Roman" w:hAnsi="Times New Roman" w:cs="Times New Roman"/>
          <w:sz w:val="24"/>
          <w:szCs w:val="24"/>
        </w:rPr>
        <w:t xml:space="preserve"> – 9</w:t>
      </w:r>
      <w:r w:rsidR="00BB2C6F" w:rsidRPr="00A03498">
        <w:rPr>
          <w:rFonts w:ascii="Times New Roman" w:hAnsi="Times New Roman" w:cs="Times New Roman"/>
          <w:sz w:val="24"/>
          <w:szCs w:val="24"/>
        </w:rPr>
        <w:t>2</w:t>
      </w:r>
      <w:r w:rsidRPr="00A03498">
        <w:rPr>
          <w:rFonts w:ascii="Times New Roman" w:hAnsi="Times New Roman" w:cs="Times New Roman"/>
          <w:sz w:val="24"/>
          <w:szCs w:val="24"/>
        </w:rPr>
        <w:t>,</w:t>
      </w:r>
      <w:r w:rsidR="00BB2C6F" w:rsidRPr="00A03498">
        <w:rPr>
          <w:rFonts w:ascii="Times New Roman" w:hAnsi="Times New Roman" w:cs="Times New Roman"/>
          <w:sz w:val="24"/>
          <w:szCs w:val="24"/>
        </w:rPr>
        <w:t>6</w:t>
      </w:r>
      <w:r w:rsidRPr="00A03498">
        <w:rPr>
          <w:rFonts w:ascii="Times New Roman" w:hAnsi="Times New Roman" w:cs="Times New Roman"/>
          <w:sz w:val="24"/>
          <w:szCs w:val="24"/>
        </w:rPr>
        <w:t xml:space="preserve"> балл</w:t>
      </w:r>
      <w:r w:rsidR="00A843FD">
        <w:rPr>
          <w:rFonts w:ascii="Times New Roman" w:hAnsi="Times New Roman" w:cs="Times New Roman"/>
          <w:sz w:val="24"/>
          <w:szCs w:val="24"/>
        </w:rPr>
        <w:t>ов</w:t>
      </w:r>
      <w:r w:rsidRPr="00A03498">
        <w:rPr>
          <w:rFonts w:ascii="Times New Roman" w:hAnsi="Times New Roman" w:cs="Times New Roman"/>
          <w:sz w:val="24"/>
          <w:szCs w:val="24"/>
        </w:rPr>
        <w:t>.</w:t>
      </w:r>
    </w:p>
    <w:p w:rsidR="00D8189C" w:rsidRPr="00A03498" w:rsidRDefault="00D8189C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498">
        <w:rPr>
          <w:rFonts w:ascii="Times New Roman" w:hAnsi="Times New Roman" w:cs="Times New Roman"/>
          <w:sz w:val="24"/>
          <w:szCs w:val="24"/>
        </w:rPr>
        <w:t>13) Показатель 1.13</w:t>
      </w:r>
      <w:r w:rsidR="001B1417" w:rsidRPr="00A03498">
        <w:rPr>
          <w:rFonts w:ascii="Times New Roman" w:hAnsi="Times New Roman" w:cs="Times New Roman"/>
          <w:sz w:val="24"/>
          <w:szCs w:val="24"/>
        </w:rPr>
        <w:t>.</w:t>
      </w:r>
      <w:r w:rsidRPr="00A03498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ГРБС фрагментов реестров расходных обязательств в департамент финансов».</w:t>
      </w:r>
    </w:p>
    <w:p w:rsidR="00D8189C" w:rsidRPr="00A03498" w:rsidRDefault="00D8189C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498">
        <w:rPr>
          <w:rFonts w:ascii="Times New Roman" w:hAnsi="Times New Roman" w:cs="Times New Roman"/>
          <w:sz w:val="24"/>
          <w:szCs w:val="24"/>
        </w:rPr>
        <w:t>Показатель по Управлению экономической политики (</w:t>
      </w:r>
      <w:r w:rsidR="008A7498" w:rsidRPr="00A03498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A03498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</w:t>
      </w:r>
      <w:r w:rsidR="008A7498" w:rsidRPr="00A03498">
        <w:rPr>
          <w:rFonts w:ascii="Times New Roman" w:hAnsi="Times New Roman" w:cs="Times New Roman"/>
          <w:sz w:val="24"/>
          <w:szCs w:val="24"/>
        </w:rPr>
        <w:t>, т.к. они не формируют фрагменты реестров расходных обязательств (расходные обязательства данных учреждений входят в состав реестра расходных обязательств Администрации города Югорска).</w:t>
      </w:r>
    </w:p>
    <w:p w:rsidR="00D8189C" w:rsidRPr="00A03498" w:rsidRDefault="00D8189C" w:rsidP="00747E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3498">
        <w:rPr>
          <w:rFonts w:ascii="Times New Roman" w:hAnsi="Times New Roman" w:cs="Times New Roman"/>
          <w:sz w:val="24"/>
          <w:szCs w:val="24"/>
        </w:rPr>
        <w:t xml:space="preserve">Оценка </w:t>
      </w:r>
      <w:r w:rsidR="008A7498" w:rsidRPr="00A03498">
        <w:rPr>
          <w:rFonts w:ascii="Times New Roman" w:hAnsi="Times New Roman" w:cs="Times New Roman"/>
          <w:sz w:val="24"/>
          <w:szCs w:val="24"/>
        </w:rPr>
        <w:t>показателя по остальным 8 ГР</w:t>
      </w:r>
      <w:r w:rsidRPr="00A03498">
        <w:rPr>
          <w:rFonts w:ascii="Times New Roman" w:hAnsi="Times New Roman" w:cs="Times New Roman"/>
          <w:sz w:val="24"/>
          <w:szCs w:val="24"/>
        </w:rPr>
        <w:t>БС составила 100,0 баллов.</w:t>
      </w:r>
    </w:p>
    <w:p w:rsidR="00D8189C" w:rsidRPr="00A03498" w:rsidRDefault="00D8189C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498">
        <w:rPr>
          <w:rFonts w:ascii="Times New Roman" w:hAnsi="Times New Roman" w:cs="Times New Roman"/>
          <w:sz w:val="24"/>
          <w:szCs w:val="24"/>
        </w:rPr>
        <w:t>14) Показатель 1.14</w:t>
      </w:r>
      <w:r w:rsidR="008C51B6" w:rsidRPr="00A03498">
        <w:rPr>
          <w:rFonts w:ascii="Times New Roman" w:hAnsi="Times New Roman" w:cs="Times New Roman"/>
          <w:sz w:val="24"/>
          <w:szCs w:val="24"/>
        </w:rPr>
        <w:t>.</w:t>
      </w:r>
      <w:r w:rsidRPr="00A03498">
        <w:rPr>
          <w:rFonts w:ascii="Times New Roman" w:hAnsi="Times New Roman" w:cs="Times New Roman"/>
          <w:sz w:val="24"/>
          <w:szCs w:val="24"/>
        </w:rPr>
        <w:t xml:space="preserve"> «</w:t>
      </w:r>
      <w:r w:rsidR="000D0EBD" w:rsidRPr="00A03498">
        <w:rPr>
          <w:rFonts w:ascii="Times New Roman" w:hAnsi="Times New Roman" w:cs="Times New Roman"/>
          <w:sz w:val="24"/>
          <w:szCs w:val="24"/>
        </w:rPr>
        <w:t>Наличие/отсутствие необоснованных направлений расходов, включенных ГРБС в проект бюджета на очередной финансовый год и плановый период</w:t>
      </w:r>
      <w:r w:rsidRPr="00A03498">
        <w:rPr>
          <w:rFonts w:ascii="Times New Roman" w:hAnsi="Times New Roman" w:cs="Times New Roman"/>
          <w:sz w:val="24"/>
          <w:szCs w:val="24"/>
        </w:rPr>
        <w:t>».</w:t>
      </w:r>
    </w:p>
    <w:p w:rsidR="00926E73" w:rsidRPr="00A03498" w:rsidRDefault="00926E73" w:rsidP="00747E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498">
        <w:rPr>
          <w:rFonts w:ascii="Times New Roman" w:hAnsi="Times New Roman" w:cs="Times New Roman"/>
          <w:sz w:val="24"/>
          <w:szCs w:val="24"/>
        </w:rPr>
        <w:t>Показатель характеризует качество подготовки ГРБС проекта бюджета на очередной финансовый год и плановый период.</w:t>
      </w:r>
      <w:r w:rsidR="000E50A4" w:rsidRPr="00A034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58DA" w:rsidRPr="00A03498" w:rsidRDefault="003F58DA" w:rsidP="001056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03498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1056B4" w:rsidRPr="00A03498">
        <w:rPr>
          <w:rFonts w:ascii="Times New Roman" w:hAnsi="Times New Roman" w:cs="Times New Roman"/>
          <w:sz w:val="24"/>
          <w:szCs w:val="24"/>
        </w:rPr>
        <w:t>100,0</w:t>
      </w:r>
      <w:r w:rsidRPr="00A03498">
        <w:rPr>
          <w:rFonts w:ascii="Times New Roman" w:hAnsi="Times New Roman" w:cs="Times New Roman"/>
          <w:sz w:val="24"/>
          <w:szCs w:val="24"/>
        </w:rPr>
        <w:t xml:space="preserve"> балл</w:t>
      </w:r>
      <w:r w:rsidR="00A843FD">
        <w:rPr>
          <w:rFonts w:ascii="Times New Roman" w:hAnsi="Times New Roman" w:cs="Times New Roman"/>
          <w:sz w:val="24"/>
          <w:szCs w:val="24"/>
        </w:rPr>
        <w:t>ов</w:t>
      </w:r>
      <w:r w:rsidR="001056B4" w:rsidRPr="00A03498">
        <w:rPr>
          <w:rFonts w:ascii="Times New Roman" w:hAnsi="Times New Roman" w:cs="Times New Roman"/>
          <w:sz w:val="24"/>
          <w:szCs w:val="24"/>
        </w:rPr>
        <w:t xml:space="preserve"> (максимальное значение) </w:t>
      </w:r>
      <w:r w:rsidRPr="00A03498">
        <w:rPr>
          <w:rFonts w:ascii="Times New Roman" w:hAnsi="Times New Roman" w:cs="Times New Roman"/>
          <w:sz w:val="24"/>
          <w:szCs w:val="24"/>
        </w:rPr>
        <w:t>(в 201</w:t>
      </w:r>
      <w:r w:rsidR="001056B4" w:rsidRPr="00A03498">
        <w:rPr>
          <w:rFonts w:ascii="Times New Roman" w:hAnsi="Times New Roman" w:cs="Times New Roman"/>
          <w:sz w:val="24"/>
          <w:szCs w:val="24"/>
        </w:rPr>
        <w:t>5</w:t>
      </w:r>
      <w:r w:rsidRPr="00A03498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</w:t>
      </w:r>
      <w:r w:rsidR="001056B4" w:rsidRPr="00A03498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A03498">
        <w:rPr>
          <w:rFonts w:ascii="Times New Roman" w:hAnsi="Times New Roman" w:cs="Times New Roman"/>
          <w:sz w:val="24"/>
          <w:szCs w:val="24"/>
        </w:rPr>
        <w:t xml:space="preserve">составляла </w:t>
      </w:r>
      <w:r w:rsidR="001056B4" w:rsidRPr="00A03498">
        <w:rPr>
          <w:rFonts w:ascii="Times New Roman" w:hAnsi="Times New Roman" w:cs="Times New Roman"/>
          <w:sz w:val="24"/>
          <w:szCs w:val="24"/>
        </w:rPr>
        <w:t>100,0</w:t>
      </w:r>
      <w:r w:rsidRPr="00A03498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EB2DF3" w:rsidRPr="002A61E0" w:rsidRDefault="00D8189C" w:rsidP="002150D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lastRenderedPageBreak/>
        <w:t>15) Показател</w:t>
      </w:r>
      <w:r w:rsidR="00EB2DF3" w:rsidRPr="002A61E0">
        <w:rPr>
          <w:rFonts w:ascii="Times New Roman" w:hAnsi="Times New Roman" w:cs="Times New Roman"/>
          <w:sz w:val="24"/>
          <w:szCs w:val="24"/>
        </w:rPr>
        <w:t>и</w:t>
      </w:r>
      <w:r w:rsidRPr="002A61E0">
        <w:rPr>
          <w:rFonts w:ascii="Times New Roman" w:hAnsi="Times New Roman" w:cs="Times New Roman"/>
          <w:sz w:val="24"/>
          <w:szCs w:val="24"/>
        </w:rPr>
        <w:t xml:space="preserve"> 1.15</w:t>
      </w:r>
      <w:r w:rsidR="00670559" w:rsidRPr="002A61E0">
        <w:rPr>
          <w:rFonts w:ascii="Times New Roman" w:hAnsi="Times New Roman" w:cs="Times New Roman"/>
          <w:sz w:val="24"/>
          <w:szCs w:val="24"/>
        </w:rPr>
        <w:t>.</w:t>
      </w:r>
      <w:r w:rsidRPr="002A61E0">
        <w:rPr>
          <w:rFonts w:ascii="Times New Roman" w:hAnsi="Times New Roman" w:cs="Times New Roman"/>
          <w:sz w:val="24"/>
          <w:szCs w:val="24"/>
        </w:rPr>
        <w:t xml:space="preserve"> «Определение объема финансового обеспечения выполнения муниципальных заданий на оказание муниципальными учреждениями муниципальных услуг на основе нормативных затрат»</w:t>
      </w:r>
      <w:r w:rsidR="00EB2DF3" w:rsidRPr="002A61E0">
        <w:rPr>
          <w:rFonts w:ascii="Times New Roman" w:hAnsi="Times New Roman" w:cs="Times New Roman"/>
          <w:sz w:val="24"/>
          <w:szCs w:val="24"/>
        </w:rPr>
        <w:t>; 1.16</w:t>
      </w:r>
      <w:r w:rsidR="00BE2BF5" w:rsidRPr="002A61E0">
        <w:rPr>
          <w:rFonts w:ascii="Times New Roman" w:hAnsi="Times New Roman" w:cs="Times New Roman"/>
          <w:sz w:val="24"/>
          <w:szCs w:val="24"/>
        </w:rPr>
        <w:t>.</w:t>
      </w:r>
      <w:r w:rsidR="00EB2DF3" w:rsidRPr="002A61E0">
        <w:rPr>
          <w:rFonts w:ascii="Times New Roman" w:hAnsi="Times New Roman" w:cs="Times New Roman"/>
          <w:sz w:val="24"/>
          <w:szCs w:val="24"/>
        </w:rPr>
        <w:t xml:space="preserve"> «Наличие результатов </w:t>
      </w:r>
      <w:proofErr w:type="gramStart"/>
      <w:r w:rsidR="00EB2DF3" w:rsidRPr="002A61E0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EB2DF3" w:rsidRPr="002A61E0">
        <w:rPr>
          <w:rFonts w:ascii="Times New Roman" w:hAnsi="Times New Roman" w:cs="Times New Roman"/>
          <w:sz w:val="24"/>
          <w:szCs w:val="24"/>
        </w:rPr>
        <w:t xml:space="preserve"> выполнением муниципальных заданий на предоставление муниципальных услуг (выполнение работ) юридическим и физическим лицам в соответствии с утвержденным порядком»; 1.17</w:t>
      </w:r>
      <w:r w:rsidR="00BE2BF5" w:rsidRPr="002A61E0">
        <w:rPr>
          <w:rFonts w:ascii="Times New Roman" w:hAnsi="Times New Roman" w:cs="Times New Roman"/>
          <w:sz w:val="24"/>
          <w:szCs w:val="24"/>
        </w:rPr>
        <w:t>.</w:t>
      </w:r>
      <w:r w:rsidR="00EB2DF3" w:rsidRPr="002A61E0">
        <w:rPr>
          <w:rFonts w:ascii="Times New Roman" w:hAnsi="Times New Roman" w:cs="Times New Roman"/>
          <w:sz w:val="24"/>
          <w:szCs w:val="24"/>
        </w:rPr>
        <w:t xml:space="preserve"> «Изучение мнения населения о качестве оказания муниципальных услуг (выполнения работ) в соответствии с установленным порядком».</w:t>
      </w:r>
    </w:p>
    <w:p w:rsidR="00EB2DF3" w:rsidRPr="002A61E0" w:rsidRDefault="00EB2DF3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Данные показатели по Думе города Югорска, Департаменту финансов, Администрации города Югорска, МКУ «Централизованная бухгалтерия», МКУ «Служба обеспечения органов местного самоуправления», Департаменту жилищно-коммунального и строительного комплекса, не выполняющих функции учредителей в отношении муниципальных учреждений, не оценивался.</w:t>
      </w:r>
    </w:p>
    <w:p w:rsidR="00EB2DF3" w:rsidRPr="002A61E0" w:rsidRDefault="00EB2DF3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Показатель 1.15</w:t>
      </w:r>
      <w:r w:rsidR="00BE2BF5" w:rsidRPr="002A61E0">
        <w:rPr>
          <w:rFonts w:ascii="Times New Roman" w:hAnsi="Times New Roman" w:cs="Times New Roman"/>
          <w:sz w:val="24"/>
          <w:szCs w:val="24"/>
        </w:rPr>
        <w:t>.</w:t>
      </w:r>
      <w:r w:rsidRPr="002A61E0">
        <w:rPr>
          <w:rFonts w:ascii="Times New Roman" w:hAnsi="Times New Roman" w:cs="Times New Roman"/>
          <w:sz w:val="24"/>
          <w:szCs w:val="24"/>
        </w:rPr>
        <w:t xml:space="preserve"> «Определение объема финансового обеспечения выполнения муниципальных заданий на оказание муниципальными учреждениями муниципальных услуг на основе нормативных затрат» не оценивался по Департаменту муниципальной собственности и градостроительства, так как подведомственное ему МАУ «Городское лесничество» выполняет муниципальные работы, которые не нормируются.</w:t>
      </w:r>
    </w:p>
    <w:p w:rsidR="00EB2DF3" w:rsidRPr="002A61E0" w:rsidRDefault="00EB2DF3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Значение показателей по всем оцениваемым ГРБС составило 100,0 баллов (максимальное значение) (в 201</w:t>
      </w:r>
      <w:r w:rsidR="006F2C9E" w:rsidRPr="002A61E0">
        <w:rPr>
          <w:rFonts w:ascii="Times New Roman" w:hAnsi="Times New Roman" w:cs="Times New Roman"/>
          <w:sz w:val="24"/>
          <w:szCs w:val="24"/>
        </w:rPr>
        <w:t>5</w:t>
      </w:r>
      <w:r w:rsidRPr="002A61E0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</w:t>
      </w:r>
      <w:r w:rsidR="003F58DA" w:rsidRPr="002A61E0">
        <w:rPr>
          <w:rFonts w:ascii="Times New Roman" w:hAnsi="Times New Roman" w:cs="Times New Roman"/>
          <w:sz w:val="24"/>
          <w:szCs w:val="24"/>
        </w:rPr>
        <w:t>финансового менеджмента по данны</w:t>
      </w:r>
      <w:r w:rsidRPr="002A61E0">
        <w:rPr>
          <w:rFonts w:ascii="Times New Roman" w:hAnsi="Times New Roman" w:cs="Times New Roman"/>
          <w:sz w:val="24"/>
          <w:szCs w:val="24"/>
        </w:rPr>
        <w:t>м показател</w:t>
      </w:r>
      <w:r w:rsidR="003F58DA" w:rsidRPr="002A61E0">
        <w:rPr>
          <w:rFonts w:ascii="Times New Roman" w:hAnsi="Times New Roman" w:cs="Times New Roman"/>
          <w:sz w:val="24"/>
          <w:szCs w:val="24"/>
        </w:rPr>
        <w:t>ям</w:t>
      </w:r>
      <w:r w:rsidRPr="002A61E0">
        <w:rPr>
          <w:rFonts w:ascii="Times New Roman" w:hAnsi="Times New Roman" w:cs="Times New Roman"/>
          <w:sz w:val="24"/>
          <w:szCs w:val="24"/>
        </w:rPr>
        <w:t xml:space="preserve"> составляла по 100,0 баллов).</w:t>
      </w:r>
    </w:p>
    <w:p w:rsidR="002E212E" w:rsidRPr="002A61E0" w:rsidRDefault="002E212E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16) Показатель 1.18. «</w:t>
      </w:r>
      <w:r w:rsidR="00205875" w:rsidRPr="002A61E0">
        <w:rPr>
          <w:rFonts w:ascii="Times New Roman" w:hAnsi="Times New Roman" w:cs="Times New Roman"/>
          <w:sz w:val="24"/>
          <w:szCs w:val="24"/>
        </w:rPr>
        <w:t>Полнота предложений по введению новых (увеличению действующих) расходных обязательств, представленных ГРБС для внесения изменений в решение Думы города о бюджете»</w:t>
      </w:r>
      <w:r w:rsidR="00945BA4" w:rsidRPr="002A61E0">
        <w:rPr>
          <w:rFonts w:ascii="Times New Roman" w:hAnsi="Times New Roman" w:cs="Times New Roman"/>
          <w:sz w:val="24"/>
          <w:szCs w:val="24"/>
        </w:rPr>
        <w:t>.</w:t>
      </w:r>
    </w:p>
    <w:p w:rsidR="00205875" w:rsidRPr="002A61E0" w:rsidRDefault="00636714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Показатель характеризует качество работы по подготовке обоснований новых (увеличению действующих) расходных обязатель</w:t>
      </w:r>
      <w:proofErr w:type="gramStart"/>
      <w:r w:rsidRPr="002A61E0">
        <w:rPr>
          <w:rFonts w:ascii="Times New Roman" w:hAnsi="Times New Roman" w:cs="Times New Roman"/>
          <w:sz w:val="24"/>
          <w:szCs w:val="24"/>
        </w:rPr>
        <w:t>ств дл</w:t>
      </w:r>
      <w:proofErr w:type="gramEnd"/>
      <w:r w:rsidRPr="002A61E0">
        <w:rPr>
          <w:rFonts w:ascii="Times New Roman" w:hAnsi="Times New Roman" w:cs="Times New Roman"/>
          <w:sz w:val="24"/>
          <w:szCs w:val="24"/>
        </w:rPr>
        <w:t>я внесения изменений в решение Думы города о бюджете.</w:t>
      </w:r>
    </w:p>
    <w:p w:rsidR="00636714" w:rsidRPr="002A61E0" w:rsidRDefault="00B21318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 xml:space="preserve">Оценка показателя по </w:t>
      </w:r>
      <w:r w:rsidR="00945BA4" w:rsidRPr="002A61E0">
        <w:rPr>
          <w:rFonts w:ascii="Times New Roman" w:hAnsi="Times New Roman" w:cs="Times New Roman"/>
          <w:sz w:val="24"/>
          <w:szCs w:val="24"/>
        </w:rPr>
        <w:t>Департаменту финансов, Департаменту жилищно-коммунального и строительного комплекса, МКУ «Служба обеспечения органов местного самоуправления»</w:t>
      </w:r>
      <w:r w:rsidRPr="002A61E0">
        <w:rPr>
          <w:rFonts w:ascii="Times New Roman" w:hAnsi="Times New Roman" w:cs="Times New Roman"/>
          <w:sz w:val="24"/>
          <w:szCs w:val="24"/>
        </w:rPr>
        <w:t xml:space="preserve"> составила 100,0 баллов</w:t>
      </w:r>
      <w:r w:rsidR="00181322" w:rsidRPr="002A61E0">
        <w:rPr>
          <w:rFonts w:ascii="Times New Roman" w:hAnsi="Times New Roman" w:cs="Times New Roman"/>
          <w:sz w:val="24"/>
          <w:szCs w:val="24"/>
        </w:rPr>
        <w:t xml:space="preserve"> (максимальное значение)</w:t>
      </w:r>
      <w:r w:rsidRPr="002A61E0">
        <w:rPr>
          <w:rFonts w:ascii="Times New Roman" w:hAnsi="Times New Roman" w:cs="Times New Roman"/>
          <w:sz w:val="24"/>
          <w:szCs w:val="24"/>
        </w:rPr>
        <w:t>,</w:t>
      </w:r>
      <w:r w:rsidR="00B26D5C" w:rsidRPr="002A61E0">
        <w:rPr>
          <w:rFonts w:ascii="Times New Roman" w:hAnsi="Times New Roman" w:cs="Times New Roman"/>
          <w:sz w:val="24"/>
          <w:szCs w:val="24"/>
        </w:rPr>
        <w:t xml:space="preserve"> ГРБС достаточно полно обосновал</w:t>
      </w:r>
      <w:r w:rsidR="00F7088D" w:rsidRPr="002A61E0">
        <w:rPr>
          <w:rFonts w:ascii="Times New Roman" w:hAnsi="Times New Roman" w:cs="Times New Roman"/>
          <w:sz w:val="24"/>
          <w:szCs w:val="24"/>
        </w:rPr>
        <w:t>и</w:t>
      </w:r>
      <w:r w:rsidR="00B26D5C" w:rsidRPr="002A61E0">
        <w:rPr>
          <w:rFonts w:ascii="Times New Roman" w:hAnsi="Times New Roman" w:cs="Times New Roman"/>
          <w:sz w:val="24"/>
          <w:szCs w:val="24"/>
        </w:rPr>
        <w:t xml:space="preserve"> предложения по введению новых (увеличению действующих) расходных обязательств</w:t>
      </w:r>
      <w:r w:rsidRPr="002A61E0">
        <w:rPr>
          <w:rFonts w:ascii="Times New Roman" w:hAnsi="Times New Roman" w:cs="Times New Roman"/>
          <w:sz w:val="24"/>
          <w:szCs w:val="24"/>
        </w:rPr>
        <w:t>.</w:t>
      </w:r>
    </w:p>
    <w:p w:rsidR="00B21318" w:rsidRPr="002A61E0" w:rsidRDefault="00B21318" w:rsidP="00B2131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945BA4" w:rsidRPr="002A61E0">
        <w:rPr>
          <w:rFonts w:ascii="Times New Roman" w:hAnsi="Times New Roman" w:cs="Times New Roman"/>
          <w:sz w:val="24"/>
          <w:szCs w:val="24"/>
        </w:rPr>
        <w:t>5</w:t>
      </w:r>
      <w:r w:rsidRPr="002A61E0">
        <w:rPr>
          <w:rFonts w:ascii="Times New Roman" w:hAnsi="Times New Roman" w:cs="Times New Roman"/>
          <w:sz w:val="24"/>
          <w:szCs w:val="24"/>
        </w:rPr>
        <w:t xml:space="preserve"> ГРБС</w:t>
      </w:r>
      <w:r w:rsidR="00945BA4" w:rsidRPr="002A61E0">
        <w:rPr>
          <w:rFonts w:ascii="Times New Roman" w:hAnsi="Times New Roman" w:cs="Times New Roman"/>
          <w:sz w:val="24"/>
          <w:szCs w:val="24"/>
        </w:rPr>
        <w:t xml:space="preserve"> (Администрации города Югорска, Думе города Югорска, Управление образования, Управление социальной политики, </w:t>
      </w:r>
      <w:r w:rsidR="00D01A3A" w:rsidRPr="002A61E0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градостроительства)</w:t>
      </w:r>
      <w:r w:rsidR="00181322" w:rsidRPr="002A61E0">
        <w:rPr>
          <w:rFonts w:ascii="Times New Roman" w:hAnsi="Times New Roman" w:cs="Times New Roman"/>
          <w:sz w:val="24"/>
          <w:szCs w:val="24"/>
        </w:rPr>
        <w:t xml:space="preserve"> не </w:t>
      </w:r>
      <w:r w:rsidR="00A843FD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181322" w:rsidRPr="002A61E0">
        <w:rPr>
          <w:rFonts w:ascii="Times New Roman" w:hAnsi="Times New Roman" w:cs="Times New Roman"/>
          <w:sz w:val="24"/>
          <w:szCs w:val="24"/>
        </w:rPr>
        <w:t>обосновал предложения по введению новых (увеличению действующих) расходных обязательств</w:t>
      </w:r>
      <w:r w:rsidRPr="002A61E0">
        <w:rPr>
          <w:rFonts w:ascii="Times New Roman" w:hAnsi="Times New Roman" w:cs="Times New Roman"/>
          <w:sz w:val="24"/>
          <w:szCs w:val="24"/>
        </w:rPr>
        <w:t>, значение оценки показателя по ним составило 0 баллов.</w:t>
      </w:r>
    </w:p>
    <w:p w:rsidR="00B26D5C" w:rsidRPr="002A61E0" w:rsidRDefault="00F31EE9" w:rsidP="003F5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Показатель не оценивался по</w:t>
      </w:r>
      <w:r w:rsidR="00D01A3A" w:rsidRPr="002A61E0">
        <w:rPr>
          <w:rFonts w:ascii="Times New Roman" w:hAnsi="Times New Roman" w:cs="Times New Roman"/>
          <w:sz w:val="24"/>
          <w:szCs w:val="24"/>
        </w:rPr>
        <w:t xml:space="preserve"> МКУ «Централизованная бухгалтерия»</w:t>
      </w:r>
      <w:r w:rsidRPr="002A61E0">
        <w:rPr>
          <w:rFonts w:ascii="Times New Roman" w:hAnsi="Times New Roman" w:cs="Times New Roman"/>
          <w:sz w:val="24"/>
          <w:szCs w:val="24"/>
        </w:rPr>
        <w:t>,</w:t>
      </w:r>
      <w:r w:rsidR="00D01A3A" w:rsidRPr="002A61E0">
        <w:rPr>
          <w:rFonts w:ascii="Times New Roman" w:hAnsi="Times New Roman" w:cs="Times New Roman"/>
          <w:sz w:val="24"/>
          <w:szCs w:val="24"/>
        </w:rPr>
        <w:t xml:space="preserve"> Управление экономической политики (в отношении МАУ «Многофункциональный центр предоставления государственных и муниципальных услуг»), Управление культуры,</w:t>
      </w:r>
      <w:r w:rsidRPr="002A61E0">
        <w:rPr>
          <w:rFonts w:ascii="Times New Roman" w:hAnsi="Times New Roman" w:cs="Times New Roman"/>
          <w:sz w:val="24"/>
          <w:szCs w:val="24"/>
        </w:rPr>
        <w:t xml:space="preserve"> так как данные ГРБС </w:t>
      </w:r>
      <w:r w:rsidR="00B26D5C" w:rsidRPr="002A61E0">
        <w:rPr>
          <w:rFonts w:ascii="Times New Roman" w:hAnsi="Times New Roman" w:cs="Times New Roman"/>
          <w:sz w:val="24"/>
          <w:szCs w:val="24"/>
        </w:rPr>
        <w:t>не направлял</w:t>
      </w:r>
      <w:r w:rsidR="007C37A1" w:rsidRPr="002A61E0">
        <w:rPr>
          <w:rFonts w:ascii="Times New Roman" w:hAnsi="Times New Roman" w:cs="Times New Roman"/>
          <w:sz w:val="24"/>
          <w:szCs w:val="24"/>
        </w:rPr>
        <w:t>и</w:t>
      </w:r>
      <w:r w:rsidR="00B26D5C" w:rsidRPr="002A61E0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7C37A1" w:rsidRPr="002A61E0">
        <w:rPr>
          <w:rFonts w:ascii="Times New Roman" w:hAnsi="Times New Roman" w:cs="Times New Roman"/>
          <w:sz w:val="24"/>
          <w:szCs w:val="24"/>
        </w:rPr>
        <w:t xml:space="preserve">2016 </w:t>
      </w:r>
      <w:r w:rsidR="00B26D5C" w:rsidRPr="002A61E0">
        <w:rPr>
          <w:rFonts w:ascii="Times New Roman" w:hAnsi="Times New Roman" w:cs="Times New Roman"/>
          <w:sz w:val="24"/>
          <w:szCs w:val="24"/>
        </w:rPr>
        <w:t>финансового года письма с предложениями по введению новых (увеличению дейс</w:t>
      </w:r>
      <w:r w:rsidRPr="002A61E0">
        <w:rPr>
          <w:rFonts w:ascii="Times New Roman" w:hAnsi="Times New Roman" w:cs="Times New Roman"/>
          <w:sz w:val="24"/>
          <w:szCs w:val="24"/>
        </w:rPr>
        <w:t>твующих) расходных обязательств.</w:t>
      </w:r>
    </w:p>
    <w:p w:rsidR="00B26D5C" w:rsidRPr="002A61E0" w:rsidRDefault="00E44ADA" w:rsidP="00D01A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D01A3A" w:rsidRPr="002A61E0">
        <w:rPr>
          <w:rFonts w:ascii="Times New Roman" w:hAnsi="Times New Roman" w:cs="Times New Roman"/>
          <w:sz w:val="24"/>
          <w:szCs w:val="24"/>
        </w:rPr>
        <w:t>37,5</w:t>
      </w:r>
      <w:r w:rsidRPr="002A61E0">
        <w:rPr>
          <w:rFonts w:ascii="Times New Roman" w:hAnsi="Times New Roman" w:cs="Times New Roman"/>
          <w:sz w:val="24"/>
          <w:szCs w:val="24"/>
        </w:rPr>
        <w:t xml:space="preserve"> балл</w:t>
      </w:r>
      <w:r w:rsidR="00F7508D">
        <w:rPr>
          <w:rFonts w:ascii="Times New Roman" w:hAnsi="Times New Roman" w:cs="Times New Roman"/>
          <w:sz w:val="24"/>
          <w:szCs w:val="24"/>
        </w:rPr>
        <w:t>ов</w:t>
      </w:r>
      <w:r w:rsidRPr="002A61E0">
        <w:rPr>
          <w:rFonts w:ascii="Times New Roman" w:hAnsi="Times New Roman" w:cs="Times New Roman"/>
          <w:sz w:val="24"/>
          <w:szCs w:val="24"/>
        </w:rPr>
        <w:t xml:space="preserve"> (в 2015 году средняя балльная оценка качества финансового менеджмента по данному показателю также составляла </w:t>
      </w:r>
      <w:r w:rsidR="00D01A3A" w:rsidRPr="002A61E0">
        <w:rPr>
          <w:rFonts w:ascii="Times New Roman" w:hAnsi="Times New Roman" w:cs="Times New Roman"/>
          <w:sz w:val="24"/>
          <w:szCs w:val="24"/>
        </w:rPr>
        <w:t xml:space="preserve">37,5 </w:t>
      </w:r>
      <w:r w:rsidRPr="002A61E0">
        <w:rPr>
          <w:rFonts w:ascii="Times New Roman" w:hAnsi="Times New Roman" w:cs="Times New Roman"/>
          <w:sz w:val="24"/>
          <w:szCs w:val="24"/>
        </w:rPr>
        <w:t>балл</w:t>
      </w:r>
      <w:r w:rsidR="00F7508D">
        <w:rPr>
          <w:rFonts w:ascii="Times New Roman" w:hAnsi="Times New Roman" w:cs="Times New Roman"/>
          <w:sz w:val="24"/>
          <w:szCs w:val="24"/>
        </w:rPr>
        <w:t>ов</w:t>
      </w:r>
      <w:r w:rsidRPr="002A61E0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2A61E0" w:rsidRDefault="00D8189C" w:rsidP="00EB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1</w:t>
      </w:r>
      <w:r w:rsidR="002E212E" w:rsidRPr="002A61E0">
        <w:rPr>
          <w:rFonts w:ascii="Times New Roman" w:hAnsi="Times New Roman" w:cs="Times New Roman"/>
          <w:sz w:val="24"/>
          <w:szCs w:val="24"/>
        </w:rPr>
        <w:t>7</w:t>
      </w:r>
      <w:r w:rsidRPr="002A61E0">
        <w:rPr>
          <w:rFonts w:ascii="Times New Roman" w:hAnsi="Times New Roman" w:cs="Times New Roman"/>
          <w:sz w:val="24"/>
          <w:szCs w:val="24"/>
        </w:rPr>
        <w:t>) Показатель 1.19</w:t>
      </w:r>
      <w:r w:rsidR="00BE2BF5" w:rsidRPr="002A61E0">
        <w:rPr>
          <w:rFonts w:ascii="Times New Roman" w:hAnsi="Times New Roman" w:cs="Times New Roman"/>
          <w:sz w:val="24"/>
          <w:szCs w:val="24"/>
        </w:rPr>
        <w:t>.</w:t>
      </w:r>
      <w:r w:rsidRPr="002A61E0">
        <w:rPr>
          <w:rFonts w:ascii="Times New Roman" w:hAnsi="Times New Roman" w:cs="Times New Roman"/>
          <w:sz w:val="24"/>
          <w:szCs w:val="24"/>
        </w:rPr>
        <w:t xml:space="preserve"> «Проведение мониторинга качества финансового менеджмента, осуществляемого подведомственными ГРБС муниципальными учреждениями, в соответствии с утвержденным правовым актом ГРБС».</w:t>
      </w:r>
    </w:p>
    <w:p w:rsidR="00D8189C" w:rsidRPr="002A61E0" w:rsidRDefault="00D8189C" w:rsidP="00EB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Показатель характеризует целенаправленность работы ГРБС по совершенствованию финансового менеджмента. Целевой ориентир - проведение регулярного мониторинга качества финансового менеджмента, осуществляемого подведомственными ГРБС муниципальными учреждениями, ежегодное повышение уровня качества финансового менеджмента.</w:t>
      </w:r>
    </w:p>
    <w:p w:rsidR="00D8189C" w:rsidRPr="002A61E0" w:rsidRDefault="00D8189C" w:rsidP="00EB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</w:t>
      </w:r>
      <w:r w:rsidR="00FB7643" w:rsidRPr="002A61E0">
        <w:rPr>
          <w:rFonts w:ascii="Times New Roman" w:hAnsi="Times New Roman" w:cs="Times New Roman"/>
          <w:sz w:val="24"/>
          <w:szCs w:val="24"/>
        </w:rPr>
        <w:t>у</w:t>
      </w:r>
      <w:r w:rsidRPr="002A61E0">
        <w:rPr>
          <w:rFonts w:ascii="Times New Roman" w:hAnsi="Times New Roman" w:cs="Times New Roman"/>
          <w:sz w:val="24"/>
          <w:szCs w:val="24"/>
        </w:rPr>
        <w:t xml:space="preserve"> финансов, Департаменту жилищно-коммунального и строительного комплекса, не имеющих подведомственной сети учреждений, не оценивался. </w:t>
      </w:r>
    </w:p>
    <w:p w:rsidR="00D8189C" w:rsidRPr="002A61E0" w:rsidRDefault="00FB7643" w:rsidP="00EB2DF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61E0">
        <w:rPr>
          <w:rFonts w:ascii="Times New Roman" w:hAnsi="Times New Roman" w:cs="Times New Roman"/>
          <w:sz w:val="24"/>
          <w:szCs w:val="24"/>
        </w:rPr>
        <w:t>Показатель по ГР</w:t>
      </w:r>
      <w:r w:rsidR="00D8189C" w:rsidRPr="002A61E0">
        <w:rPr>
          <w:rFonts w:ascii="Times New Roman" w:hAnsi="Times New Roman" w:cs="Times New Roman"/>
          <w:sz w:val="24"/>
          <w:szCs w:val="24"/>
        </w:rPr>
        <w:t>БС</w:t>
      </w:r>
      <w:r w:rsidRPr="002A61E0">
        <w:rPr>
          <w:rFonts w:ascii="Times New Roman" w:hAnsi="Times New Roman" w:cs="Times New Roman"/>
          <w:sz w:val="24"/>
          <w:szCs w:val="24"/>
        </w:rPr>
        <w:t>,</w:t>
      </w:r>
      <w:r w:rsidR="00D8189C" w:rsidRPr="002A61E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189C" w:rsidRPr="002A61E0">
        <w:rPr>
          <w:rFonts w:ascii="Times New Roman" w:hAnsi="Times New Roman" w:cs="Times New Roman"/>
          <w:sz w:val="24"/>
          <w:szCs w:val="24"/>
        </w:rPr>
        <w:t>имеющим</w:t>
      </w:r>
      <w:proofErr w:type="gramEnd"/>
      <w:r w:rsidR="00D8189C" w:rsidRPr="002A61E0">
        <w:rPr>
          <w:rFonts w:ascii="Times New Roman" w:hAnsi="Times New Roman" w:cs="Times New Roman"/>
          <w:sz w:val="24"/>
          <w:szCs w:val="24"/>
        </w:rPr>
        <w:t xml:space="preserve"> </w:t>
      </w:r>
      <w:r w:rsidRPr="002A61E0">
        <w:rPr>
          <w:rFonts w:ascii="Times New Roman" w:hAnsi="Times New Roman" w:cs="Times New Roman"/>
          <w:sz w:val="24"/>
          <w:szCs w:val="24"/>
        </w:rPr>
        <w:t xml:space="preserve">в </w:t>
      </w:r>
      <w:r w:rsidR="00D8189C" w:rsidRPr="002A61E0">
        <w:rPr>
          <w:rFonts w:ascii="Times New Roman" w:hAnsi="Times New Roman" w:cs="Times New Roman"/>
          <w:sz w:val="24"/>
          <w:szCs w:val="24"/>
        </w:rPr>
        <w:t>подведомственн</w:t>
      </w:r>
      <w:r w:rsidRPr="002A61E0">
        <w:rPr>
          <w:rFonts w:ascii="Times New Roman" w:hAnsi="Times New Roman" w:cs="Times New Roman"/>
          <w:sz w:val="24"/>
          <w:szCs w:val="24"/>
        </w:rPr>
        <w:t>ости</w:t>
      </w:r>
      <w:r w:rsidR="00D8189C" w:rsidRPr="002A61E0">
        <w:rPr>
          <w:rFonts w:ascii="Times New Roman" w:hAnsi="Times New Roman" w:cs="Times New Roman"/>
          <w:sz w:val="24"/>
          <w:szCs w:val="24"/>
        </w:rPr>
        <w:t xml:space="preserve"> </w:t>
      </w:r>
      <w:r w:rsidRPr="002A61E0">
        <w:rPr>
          <w:rFonts w:ascii="Times New Roman" w:hAnsi="Times New Roman" w:cs="Times New Roman"/>
          <w:sz w:val="24"/>
          <w:szCs w:val="24"/>
        </w:rPr>
        <w:t>муниципальные</w:t>
      </w:r>
      <w:r w:rsidR="00D8189C" w:rsidRPr="002A61E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Pr="002A61E0">
        <w:rPr>
          <w:rFonts w:ascii="Times New Roman" w:hAnsi="Times New Roman" w:cs="Times New Roman"/>
          <w:sz w:val="24"/>
          <w:szCs w:val="24"/>
        </w:rPr>
        <w:t>я, составил 0</w:t>
      </w:r>
      <w:r w:rsidR="00D8189C" w:rsidRPr="002A61E0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2A61E0">
        <w:rPr>
          <w:rFonts w:ascii="Times New Roman" w:hAnsi="Times New Roman" w:cs="Times New Roman"/>
          <w:sz w:val="24"/>
          <w:szCs w:val="24"/>
        </w:rPr>
        <w:t xml:space="preserve"> (в 201</w:t>
      </w:r>
      <w:r w:rsidR="00C65496" w:rsidRPr="002A61E0">
        <w:rPr>
          <w:rFonts w:ascii="Times New Roman" w:hAnsi="Times New Roman" w:cs="Times New Roman"/>
          <w:sz w:val="24"/>
          <w:szCs w:val="24"/>
        </w:rPr>
        <w:t>5</w:t>
      </w:r>
      <w:r w:rsidRPr="002A61E0">
        <w:rPr>
          <w:rFonts w:ascii="Times New Roman" w:hAnsi="Times New Roman" w:cs="Times New Roman"/>
          <w:sz w:val="24"/>
          <w:szCs w:val="24"/>
        </w:rPr>
        <w:t xml:space="preserve"> году также все ГРБС имели оценки 0 баллов)</w:t>
      </w:r>
      <w:r w:rsidR="00D8189C" w:rsidRPr="002A61E0">
        <w:rPr>
          <w:rFonts w:ascii="Times New Roman" w:hAnsi="Times New Roman" w:cs="Times New Roman"/>
          <w:sz w:val="24"/>
          <w:szCs w:val="24"/>
        </w:rPr>
        <w:t>. Мониторинг качества финансового менеджмента</w:t>
      </w:r>
      <w:r w:rsidR="002440F4" w:rsidRPr="002A61E0">
        <w:rPr>
          <w:rFonts w:ascii="Times New Roman" w:hAnsi="Times New Roman" w:cs="Times New Roman"/>
          <w:sz w:val="24"/>
          <w:szCs w:val="24"/>
        </w:rPr>
        <w:t xml:space="preserve"> в отношении</w:t>
      </w:r>
      <w:r w:rsidRPr="002A61E0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2A61E0">
        <w:rPr>
          <w:rFonts w:ascii="Times New Roman" w:hAnsi="Times New Roman" w:cs="Times New Roman"/>
          <w:sz w:val="24"/>
          <w:szCs w:val="24"/>
        </w:rPr>
        <w:t>подведомственны</w:t>
      </w:r>
      <w:r w:rsidR="002440F4" w:rsidRPr="002A61E0">
        <w:rPr>
          <w:rFonts w:ascii="Times New Roman" w:hAnsi="Times New Roman" w:cs="Times New Roman"/>
          <w:sz w:val="24"/>
          <w:szCs w:val="24"/>
        </w:rPr>
        <w:t>х</w:t>
      </w:r>
      <w:r w:rsidR="00D8189C" w:rsidRPr="002A61E0">
        <w:rPr>
          <w:rFonts w:ascii="Times New Roman" w:hAnsi="Times New Roman" w:cs="Times New Roman"/>
          <w:sz w:val="24"/>
          <w:szCs w:val="24"/>
        </w:rPr>
        <w:t xml:space="preserve"> муниципальны</w:t>
      </w:r>
      <w:r w:rsidR="002440F4" w:rsidRPr="002A61E0">
        <w:rPr>
          <w:rFonts w:ascii="Times New Roman" w:hAnsi="Times New Roman" w:cs="Times New Roman"/>
          <w:sz w:val="24"/>
          <w:szCs w:val="24"/>
        </w:rPr>
        <w:t>х</w:t>
      </w:r>
      <w:r w:rsidR="00D8189C" w:rsidRPr="002A61E0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2440F4" w:rsidRPr="002A61E0">
        <w:rPr>
          <w:rFonts w:ascii="Times New Roman" w:hAnsi="Times New Roman" w:cs="Times New Roman"/>
          <w:sz w:val="24"/>
          <w:szCs w:val="24"/>
        </w:rPr>
        <w:t>й</w:t>
      </w:r>
      <w:r w:rsidR="00D8189C" w:rsidRPr="002A61E0">
        <w:rPr>
          <w:rFonts w:ascii="Times New Roman" w:hAnsi="Times New Roman" w:cs="Times New Roman"/>
          <w:sz w:val="24"/>
          <w:szCs w:val="24"/>
        </w:rPr>
        <w:t xml:space="preserve"> ГРБС не осуществляется.</w:t>
      </w:r>
    </w:p>
    <w:p w:rsidR="00D8189C" w:rsidRPr="00E03BCA" w:rsidRDefault="00017079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lastRenderedPageBreak/>
        <w:t>1</w:t>
      </w:r>
      <w:r w:rsidR="002E212E" w:rsidRPr="00E03BCA">
        <w:rPr>
          <w:rFonts w:ascii="Times New Roman" w:hAnsi="Times New Roman" w:cs="Times New Roman"/>
          <w:sz w:val="24"/>
          <w:szCs w:val="24"/>
        </w:rPr>
        <w:t>8</w:t>
      </w:r>
      <w:r w:rsidR="00D8189C" w:rsidRPr="00E03BCA">
        <w:rPr>
          <w:rFonts w:ascii="Times New Roman" w:hAnsi="Times New Roman" w:cs="Times New Roman"/>
          <w:sz w:val="24"/>
          <w:szCs w:val="24"/>
        </w:rPr>
        <w:t>) Показатель 1.20</w:t>
      </w:r>
      <w:r w:rsidR="0030633E" w:rsidRPr="00E03BCA">
        <w:rPr>
          <w:rFonts w:ascii="Times New Roman" w:hAnsi="Times New Roman" w:cs="Times New Roman"/>
          <w:sz w:val="24"/>
          <w:szCs w:val="24"/>
        </w:rPr>
        <w:t>.</w:t>
      </w:r>
      <w:r w:rsidR="00D8189C" w:rsidRPr="00E03BCA">
        <w:rPr>
          <w:rFonts w:ascii="Times New Roman" w:hAnsi="Times New Roman" w:cs="Times New Roman"/>
          <w:sz w:val="24"/>
          <w:szCs w:val="24"/>
        </w:rPr>
        <w:t xml:space="preserve"> «Обеспечение открытости информации о ГРБС в отчетном году».</w:t>
      </w:r>
    </w:p>
    <w:p w:rsidR="00D8189C" w:rsidRPr="00E03BCA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Показатель характеризует уровень открытости, прозрачности и подотчетности финансовой деятельности ГРБС.</w:t>
      </w:r>
    </w:p>
    <w:p w:rsidR="00D8189C" w:rsidRPr="00E03BCA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При оценке показателя учитывалось наличие на официальном сайте администрации города Югорска в сети Интернет по состоянию на дату предоставления данных для мониторинга следующей информации:</w:t>
      </w:r>
    </w:p>
    <w:p w:rsidR="00D8189C" w:rsidRPr="00E03BCA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1) актуальных редакций муниципальных программ города Югорска, ответственным исполнителем которых является ГРБС;</w:t>
      </w:r>
    </w:p>
    <w:p w:rsidR="00D8189C" w:rsidRPr="00E03BCA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2) отчетов о ходе реализации муниципальных программ города Югорска, ответственным исполнителем которых является ГРБС;</w:t>
      </w:r>
    </w:p>
    <w:p w:rsidR="00D8189C" w:rsidRPr="00E03BCA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3) отчетов о деятельности ГРБС за отчетный год;</w:t>
      </w:r>
    </w:p>
    <w:p w:rsidR="00D8189C" w:rsidRPr="00E03BCA" w:rsidRDefault="00EB2DF3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4</w:t>
      </w:r>
      <w:r w:rsidR="00D8189C" w:rsidRPr="00E03BCA">
        <w:rPr>
          <w:rFonts w:ascii="Times New Roman" w:hAnsi="Times New Roman" w:cs="Times New Roman"/>
          <w:sz w:val="24"/>
          <w:szCs w:val="24"/>
        </w:rPr>
        <w:t xml:space="preserve">) результатов </w:t>
      </w:r>
      <w:proofErr w:type="gramStart"/>
      <w:r w:rsidR="00D8189C" w:rsidRPr="00E03BC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="00D8189C" w:rsidRPr="00E03BCA">
        <w:rPr>
          <w:rFonts w:ascii="Times New Roman" w:hAnsi="Times New Roman" w:cs="Times New Roman"/>
          <w:sz w:val="24"/>
          <w:szCs w:val="24"/>
        </w:rPr>
        <w:t xml:space="preserve"> выполнением муниципальных заданий на предоставление муниципальных услуг юридическим и физическим лицам;</w:t>
      </w:r>
    </w:p>
    <w:p w:rsidR="00D8189C" w:rsidRPr="00E03BCA" w:rsidRDefault="00EB2DF3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5</w:t>
      </w:r>
      <w:r w:rsidR="00D8189C" w:rsidRPr="00E03BCA">
        <w:rPr>
          <w:rFonts w:ascii="Times New Roman" w:hAnsi="Times New Roman" w:cs="Times New Roman"/>
          <w:sz w:val="24"/>
          <w:szCs w:val="24"/>
        </w:rPr>
        <w:t>) результатов изучения мнения населения о качестве оказания муниципальных услуг (выполнения работ);</w:t>
      </w:r>
    </w:p>
    <w:p w:rsidR="00D8189C" w:rsidRPr="00E03BCA" w:rsidRDefault="00EB2DF3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6</w:t>
      </w:r>
      <w:r w:rsidR="00D8189C" w:rsidRPr="00E03BCA">
        <w:rPr>
          <w:rFonts w:ascii="Times New Roman" w:hAnsi="Times New Roman" w:cs="Times New Roman"/>
          <w:sz w:val="24"/>
          <w:szCs w:val="24"/>
        </w:rPr>
        <w:t>) результатов мониторинга выполнения подведомственными ГРБС муниципальными учреждениями муниципальных заданий на оказание муниципальных услуг (выполнение работ).</w:t>
      </w:r>
    </w:p>
    <w:p w:rsidR="00D8189C" w:rsidRPr="00E03BCA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Показатель по Думе города Югорска, МКУ «Централизованная бухгалтерия», МКУ «Служба обеспечения органов местного самоуправления», не являющихся ответственным</w:t>
      </w:r>
      <w:r w:rsidR="00EB2DF3" w:rsidRPr="00E03BCA">
        <w:rPr>
          <w:rFonts w:ascii="Times New Roman" w:hAnsi="Times New Roman" w:cs="Times New Roman"/>
          <w:sz w:val="24"/>
          <w:szCs w:val="24"/>
        </w:rPr>
        <w:t>и</w:t>
      </w:r>
      <w:r w:rsidRPr="00E03BCA">
        <w:rPr>
          <w:rFonts w:ascii="Times New Roman" w:hAnsi="Times New Roman" w:cs="Times New Roman"/>
          <w:sz w:val="24"/>
          <w:szCs w:val="24"/>
        </w:rPr>
        <w:t xml:space="preserve"> исполнител</w:t>
      </w:r>
      <w:r w:rsidR="00EB2DF3" w:rsidRPr="00E03BCA">
        <w:rPr>
          <w:rFonts w:ascii="Times New Roman" w:hAnsi="Times New Roman" w:cs="Times New Roman"/>
          <w:sz w:val="24"/>
          <w:szCs w:val="24"/>
        </w:rPr>
        <w:t>я</w:t>
      </w:r>
      <w:r w:rsidRPr="00E03BCA">
        <w:rPr>
          <w:rFonts w:ascii="Times New Roman" w:hAnsi="Times New Roman" w:cs="Times New Roman"/>
          <w:sz w:val="24"/>
          <w:szCs w:val="24"/>
        </w:rPr>
        <w:t>м</w:t>
      </w:r>
      <w:r w:rsidR="00EB2DF3" w:rsidRPr="00E03BCA">
        <w:rPr>
          <w:rFonts w:ascii="Times New Roman" w:hAnsi="Times New Roman" w:cs="Times New Roman"/>
          <w:sz w:val="24"/>
          <w:szCs w:val="24"/>
        </w:rPr>
        <w:t>и</w:t>
      </w:r>
      <w:r w:rsidRPr="00E03BCA">
        <w:rPr>
          <w:rFonts w:ascii="Times New Roman" w:hAnsi="Times New Roman" w:cs="Times New Roman"/>
          <w:sz w:val="24"/>
          <w:szCs w:val="24"/>
        </w:rPr>
        <w:t xml:space="preserve"> муниципальных программ города Югорска, и н</w:t>
      </w:r>
      <w:r w:rsidR="00EB2DF3" w:rsidRPr="00E03BCA">
        <w:rPr>
          <w:rFonts w:ascii="Times New Roman" w:hAnsi="Times New Roman" w:cs="Times New Roman"/>
          <w:sz w:val="24"/>
          <w:szCs w:val="24"/>
        </w:rPr>
        <w:t>е выполняющих функции учредителей</w:t>
      </w:r>
      <w:r w:rsidRPr="00E03BCA">
        <w:rPr>
          <w:rFonts w:ascii="Times New Roman" w:hAnsi="Times New Roman" w:cs="Times New Roman"/>
          <w:sz w:val="24"/>
          <w:szCs w:val="24"/>
        </w:rPr>
        <w:t xml:space="preserve"> в отношении муниципальных учреждений, не оценивался.</w:t>
      </w:r>
    </w:p>
    <w:p w:rsidR="00D8189C" w:rsidRPr="00E03BCA" w:rsidRDefault="00D8189C" w:rsidP="00EB2D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 xml:space="preserve">Значение показателя по </w:t>
      </w:r>
      <w:r w:rsidR="00EB2DF3" w:rsidRPr="00E03BCA">
        <w:rPr>
          <w:rFonts w:ascii="Times New Roman" w:hAnsi="Times New Roman" w:cs="Times New Roman"/>
          <w:sz w:val="24"/>
          <w:szCs w:val="24"/>
        </w:rPr>
        <w:t>всем оцениваемым</w:t>
      </w:r>
      <w:r w:rsidRPr="00E03BCA">
        <w:rPr>
          <w:rFonts w:ascii="Times New Roman" w:hAnsi="Times New Roman" w:cs="Times New Roman"/>
          <w:sz w:val="24"/>
          <w:szCs w:val="24"/>
        </w:rPr>
        <w:t xml:space="preserve"> Г</w:t>
      </w:r>
      <w:r w:rsidR="00EB2DF3" w:rsidRPr="00E03BCA">
        <w:rPr>
          <w:rFonts w:ascii="Times New Roman" w:hAnsi="Times New Roman" w:cs="Times New Roman"/>
          <w:sz w:val="24"/>
          <w:szCs w:val="24"/>
        </w:rPr>
        <w:t>Р</w:t>
      </w:r>
      <w:r w:rsidRPr="00E03BCA">
        <w:rPr>
          <w:rFonts w:ascii="Times New Roman" w:hAnsi="Times New Roman" w:cs="Times New Roman"/>
          <w:sz w:val="24"/>
          <w:szCs w:val="24"/>
        </w:rPr>
        <w:t>БС составило 100,0 баллов (максимальное значение</w:t>
      </w:r>
      <w:r w:rsidR="00EB2DF3" w:rsidRPr="00E03BCA">
        <w:rPr>
          <w:rFonts w:ascii="Times New Roman" w:hAnsi="Times New Roman" w:cs="Times New Roman"/>
          <w:sz w:val="24"/>
          <w:szCs w:val="24"/>
        </w:rPr>
        <w:t>) (в 201</w:t>
      </w:r>
      <w:r w:rsidR="00881414" w:rsidRPr="00E03BCA">
        <w:rPr>
          <w:rFonts w:ascii="Times New Roman" w:hAnsi="Times New Roman" w:cs="Times New Roman"/>
          <w:sz w:val="24"/>
          <w:szCs w:val="24"/>
        </w:rPr>
        <w:t>5</w:t>
      </w:r>
      <w:r w:rsidR="00EB2DF3" w:rsidRPr="00E03BCA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881414" w:rsidRPr="00E03BCA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10</w:t>
      </w:r>
      <w:r w:rsidR="00EB2DF3" w:rsidRPr="00E03BCA">
        <w:rPr>
          <w:rFonts w:ascii="Times New Roman" w:hAnsi="Times New Roman" w:cs="Times New Roman"/>
          <w:sz w:val="24"/>
          <w:szCs w:val="24"/>
        </w:rPr>
        <w:t>0,0 баллов)</w:t>
      </w:r>
      <w:r w:rsidRPr="00E03BCA">
        <w:rPr>
          <w:rFonts w:ascii="Times New Roman" w:hAnsi="Times New Roman" w:cs="Times New Roman"/>
          <w:sz w:val="24"/>
          <w:szCs w:val="24"/>
        </w:rPr>
        <w:t>.</w:t>
      </w:r>
    </w:p>
    <w:p w:rsidR="005B6B3D" w:rsidRPr="00881414" w:rsidRDefault="005B6B3D" w:rsidP="00F534FA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8189C" w:rsidRPr="00E03BCA" w:rsidRDefault="00D8189C" w:rsidP="00D8189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3BCA">
        <w:rPr>
          <w:rFonts w:ascii="Times New Roman" w:hAnsi="Times New Roman" w:cs="Times New Roman"/>
          <w:b/>
          <w:sz w:val="24"/>
          <w:szCs w:val="24"/>
        </w:rPr>
        <w:t>2. Оценка результатов исполнения бюджета</w:t>
      </w:r>
    </w:p>
    <w:p w:rsidR="00516E1E" w:rsidRPr="00E03BCA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Для расчёта показателей Мониторинга в части исполнения бюджета использовались:</w:t>
      </w:r>
    </w:p>
    <w:p w:rsidR="00516E1E" w:rsidRPr="00E03BCA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03BCA">
        <w:rPr>
          <w:rFonts w:ascii="Times New Roman" w:hAnsi="Times New Roman" w:cs="Times New Roman"/>
          <w:sz w:val="24"/>
          <w:szCs w:val="24"/>
        </w:rPr>
        <w:t>данные годовых отчётов ГАБС об исполнении бюджета за 201</w:t>
      </w:r>
      <w:r w:rsidR="00455114" w:rsidRPr="00E03BCA">
        <w:rPr>
          <w:rFonts w:ascii="Times New Roman" w:hAnsi="Times New Roman" w:cs="Times New Roman"/>
          <w:sz w:val="24"/>
          <w:szCs w:val="24"/>
        </w:rPr>
        <w:t>6</w:t>
      </w:r>
      <w:r w:rsidRPr="00E03BCA">
        <w:rPr>
          <w:rFonts w:ascii="Times New Roman" w:hAnsi="Times New Roman" w:cs="Times New Roman"/>
          <w:sz w:val="24"/>
          <w:szCs w:val="24"/>
        </w:rPr>
        <w:t xml:space="preserve"> год, данные автоматизированной системы "Бюджет" о кассовом исполнении за 201</w:t>
      </w:r>
      <w:r w:rsidR="00455114" w:rsidRPr="00E03BCA">
        <w:rPr>
          <w:rFonts w:ascii="Times New Roman" w:hAnsi="Times New Roman" w:cs="Times New Roman"/>
          <w:sz w:val="24"/>
          <w:szCs w:val="24"/>
        </w:rPr>
        <w:t>6</w:t>
      </w:r>
      <w:r w:rsidRPr="00E03BCA">
        <w:rPr>
          <w:rFonts w:ascii="Times New Roman" w:hAnsi="Times New Roman" w:cs="Times New Roman"/>
          <w:sz w:val="24"/>
          <w:szCs w:val="24"/>
        </w:rPr>
        <w:t xml:space="preserve"> год расходов в необходимом для расчета показателей разрезах;</w:t>
      </w:r>
      <w:proofErr w:type="gramEnd"/>
    </w:p>
    <w:p w:rsidR="00516E1E" w:rsidRPr="00E03BCA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данные отчетов ГРБС о выполнении муниципальных заданий;</w:t>
      </w:r>
    </w:p>
    <w:p w:rsidR="00516E1E" w:rsidRPr="00E03BCA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данные отчетов  о реализации муниципальных программ города Югорска;</w:t>
      </w:r>
    </w:p>
    <w:p w:rsidR="00516E1E" w:rsidRPr="00E03BCA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>сопроводительные письма ГАБС о представлении информаций, документов и материалов.</w:t>
      </w:r>
    </w:p>
    <w:p w:rsidR="00CB39C5" w:rsidRPr="00E03BCA" w:rsidRDefault="00CB39C5" w:rsidP="00CB39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3BCA">
        <w:rPr>
          <w:rFonts w:ascii="Times New Roman" w:hAnsi="Times New Roman" w:cs="Times New Roman"/>
          <w:sz w:val="24"/>
          <w:szCs w:val="24"/>
        </w:rPr>
        <w:t xml:space="preserve">Средняя балльная оценка по </w:t>
      </w:r>
      <w:r w:rsidR="006311A4" w:rsidRPr="00E03BCA">
        <w:rPr>
          <w:rFonts w:ascii="Times New Roman" w:hAnsi="Times New Roman" w:cs="Times New Roman"/>
          <w:sz w:val="24"/>
          <w:szCs w:val="24"/>
        </w:rPr>
        <w:t>2</w:t>
      </w:r>
      <w:r w:rsidRPr="00E03BCA">
        <w:rPr>
          <w:rFonts w:ascii="Times New Roman" w:hAnsi="Times New Roman" w:cs="Times New Roman"/>
          <w:sz w:val="24"/>
          <w:szCs w:val="24"/>
        </w:rPr>
        <w:t>-й группе показателей за 201</w:t>
      </w:r>
      <w:r w:rsidR="00EF712B" w:rsidRPr="00E03BCA">
        <w:rPr>
          <w:rFonts w:ascii="Times New Roman" w:hAnsi="Times New Roman" w:cs="Times New Roman"/>
          <w:sz w:val="24"/>
          <w:szCs w:val="24"/>
        </w:rPr>
        <w:t>6</w:t>
      </w:r>
      <w:r w:rsidRPr="00E03BCA">
        <w:rPr>
          <w:rFonts w:ascii="Times New Roman" w:hAnsi="Times New Roman" w:cs="Times New Roman"/>
          <w:sz w:val="24"/>
          <w:szCs w:val="24"/>
        </w:rPr>
        <w:t xml:space="preserve"> год составила </w:t>
      </w:r>
      <w:r w:rsidR="00E03BCA" w:rsidRPr="00E03BCA">
        <w:rPr>
          <w:rFonts w:ascii="Times New Roman" w:hAnsi="Times New Roman" w:cs="Times New Roman"/>
          <w:sz w:val="24"/>
          <w:szCs w:val="24"/>
        </w:rPr>
        <w:t>76,0</w:t>
      </w:r>
      <w:r w:rsidRPr="00E03BCA">
        <w:rPr>
          <w:rFonts w:ascii="Times New Roman" w:hAnsi="Times New Roman" w:cs="Times New Roman"/>
          <w:sz w:val="24"/>
          <w:szCs w:val="24"/>
        </w:rPr>
        <w:t xml:space="preserve"> балл</w:t>
      </w:r>
      <w:r w:rsidR="00F7508D">
        <w:rPr>
          <w:rFonts w:ascii="Times New Roman" w:hAnsi="Times New Roman" w:cs="Times New Roman"/>
          <w:sz w:val="24"/>
          <w:szCs w:val="24"/>
        </w:rPr>
        <w:t>ов</w:t>
      </w:r>
      <w:r w:rsidRPr="00E03BCA">
        <w:rPr>
          <w:rFonts w:ascii="Times New Roman" w:hAnsi="Times New Roman" w:cs="Times New Roman"/>
          <w:sz w:val="24"/>
          <w:szCs w:val="24"/>
        </w:rPr>
        <w:t xml:space="preserve"> по 100-балльной шкале, что на </w:t>
      </w:r>
      <w:r w:rsidR="00E03BCA" w:rsidRPr="00E03BCA">
        <w:rPr>
          <w:rFonts w:ascii="Times New Roman" w:hAnsi="Times New Roman" w:cs="Times New Roman"/>
          <w:sz w:val="24"/>
          <w:szCs w:val="24"/>
        </w:rPr>
        <w:t>6</w:t>
      </w:r>
      <w:r w:rsidR="007D49C5" w:rsidRPr="00E03BCA">
        <w:rPr>
          <w:rFonts w:ascii="Times New Roman" w:hAnsi="Times New Roman" w:cs="Times New Roman"/>
          <w:sz w:val="24"/>
          <w:szCs w:val="24"/>
        </w:rPr>
        <w:t>,7</w:t>
      </w:r>
      <w:r w:rsidRPr="00E03BCA">
        <w:rPr>
          <w:rFonts w:ascii="Times New Roman" w:hAnsi="Times New Roman" w:cs="Times New Roman"/>
          <w:sz w:val="24"/>
          <w:szCs w:val="24"/>
        </w:rPr>
        <w:t xml:space="preserve"> балл</w:t>
      </w:r>
      <w:r w:rsidR="00F7508D">
        <w:rPr>
          <w:rFonts w:ascii="Times New Roman" w:hAnsi="Times New Roman" w:cs="Times New Roman"/>
          <w:sz w:val="24"/>
          <w:szCs w:val="24"/>
        </w:rPr>
        <w:t>ов</w:t>
      </w:r>
      <w:r w:rsidRPr="00E03BCA">
        <w:rPr>
          <w:rFonts w:ascii="Times New Roman" w:hAnsi="Times New Roman" w:cs="Times New Roman"/>
          <w:sz w:val="24"/>
          <w:szCs w:val="24"/>
        </w:rPr>
        <w:t xml:space="preserve"> выше значения за 201</w:t>
      </w:r>
      <w:r w:rsidR="00EF712B" w:rsidRPr="00E03BCA">
        <w:rPr>
          <w:rFonts w:ascii="Times New Roman" w:hAnsi="Times New Roman" w:cs="Times New Roman"/>
          <w:sz w:val="24"/>
          <w:szCs w:val="24"/>
        </w:rPr>
        <w:t>5</w:t>
      </w:r>
      <w:r w:rsidRPr="00E03BCA">
        <w:rPr>
          <w:rFonts w:ascii="Times New Roman" w:hAnsi="Times New Roman" w:cs="Times New Roman"/>
          <w:sz w:val="24"/>
          <w:szCs w:val="24"/>
        </w:rPr>
        <w:t xml:space="preserve"> год (в 201</w:t>
      </w:r>
      <w:r w:rsidR="00EF712B" w:rsidRPr="00E03BCA">
        <w:rPr>
          <w:rFonts w:ascii="Times New Roman" w:hAnsi="Times New Roman" w:cs="Times New Roman"/>
          <w:sz w:val="24"/>
          <w:szCs w:val="24"/>
        </w:rPr>
        <w:t>5</w:t>
      </w:r>
      <w:r w:rsidRPr="00E03BCA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 группе показателей составляла </w:t>
      </w:r>
      <w:r w:rsidR="00EF712B" w:rsidRPr="00E03BCA">
        <w:rPr>
          <w:rFonts w:ascii="Times New Roman" w:hAnsi="Times New Roman" w:cs="Times New Roman"/>
          <w:sz w:val="24"/>
          <w:szCs w:val="24"/>
        </w:rPr>
        <w:t>82,7</w:t>
      </w:r>
      <w:r w:rsidRPr="00E03BCA">
        <w:rPr>
          <w:rFonts w:ascii="Times New Roman" w:hAnsi="Times New Roman" w:cs="Times New Roman"/>
          <w:sz w:val="24"/>
          <w:szCs w:val="24"/>
        </w:rPr>
        <w:t xml:space="preserve"> балла). </w:t>
      </w:r>
    </w:p>
    <w:p w:rsidR="00CB39C5" w:rsidRDefault="008A6EDD" w:rsidP="00CB39C5">
      <w:pPr>
        <w:spacing w:after="0" w:line="240" w:lineRule="auto"/>
        <w:ind w:firstLine="709"/>
        <w:jc w:val="both"/>
        <w:rPr>
          <w:noProof/>
          <w:color w:val="FF0000"/>
          <w:sz w:val="24"/>
          <w:szCs w:val="24"/>
        </w:rPr>
      </w:pPr>
      <w:proofErr w:type="gramStart"/>
      <w:r w:rsidRPr="00734AEC">
        <w:rPr>
          <w:rFonts w:ascii="Times New Roman" w:hAnsi="Times New Roman" w:cs="Times New Roman"/>
          <w:sz w:val="24"/>
          <w:szCs w:val="24"/>
        </w:rPr>
        <w:t>5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 ГАБС или </w:t>
      </w:r>
      <w:r w:rsidRPr="00734AEC">
        <w:rPr>
          <w:rFonts w:ascii="Times New Roman" w:hAnsi="Times New Roman" w:cs="Times New Roman"/>
          <w:sz w:val="24"/>
          <w:szCs w:val="24"/>
        </w:rPr>
        <w:t>45</w:t>
      </w:r>
      <w:r w:rsidR="00CB39C5" w:rsidRPr="00734AEC">
        <w:rPr>
          <w:rFonts w:ascii="Times New Roman" w:hAnsi="Times New Roman" w:cs="Times New Roman"/>
          <w:sz w:val="24"/>
          <w:szCs w:val="24"/>
        </w:rPr>
        <w:t>,5% от общего количества оцениваемых ГАБС имеют значения балльной оценки качества финансового менеджмента выше среднего</w:t>
      </w:r>
      <w:r w:rsidR="00CB39C5" w:rsidRPr="00734AEC">
        <w:t xml:space="preserve"> </w:t>
      </w:r>
      <w:r w:rsidR="00CB39C5" w:rsidRPr="00734AEC">
        <w:rPr>
          <w:rFonts w:ascii="Times New Roman" w:hAnsi="Times New Roman" w:cs="Times New Roman"/>
          <w:sz w:val="24"/>
          <w:szCs w:val="24"/>
        </w:rPr>
        <w:t>(по убыванию баллов:</w:t>
      </w:r>
      <w:proofErr w:type="gramEnd"/>
      <w:r w:rsidR="00CB39C5" w:rsidRPr="00734AEC">
        <w:t xml:space="preserve"> </w:t>
      </w:r>
      <w:proofErr w:type="gramStart"/>
      <w:r w:rsidR="00CB39C5" w:rsidRPr="00734AEC">
        <w:rPr>
          <w:rFonts w:ascii="Times New Roman" w:hAnsi="Times New Roman" w:cs="Times New Roman"/>
          <w:sz w:val="24"/>
          <w:szCs w:val="24"/>
        </w:rPr>
        <w:t xml:space="preserve">Департамент финансов – </w:t>
      </w:r>
      <w:r w:rsidR="003E5231" w:rsidRPr="00734AEC">
        <w:rPr>
          <w:rFonts w:ascii="Times New Roman" w:hAnsi="Times New Roman" w:cs="Times New Roman"/>
          <w:sz w:val="24"/>
          <w:szCs w:val="24"/>
        </w:rPr>
        <w:t>91,7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, Администрация города Югорска – </w:t>
      </w:r>
      <w:r w:rsidR="003E5231" w:rsidRPr="00734AEC">
        <w:rPr>
          <w:rFonts w:ascii="Times New Roman" w:hAnsi="Times New Roman" w:cs="Times New Roman"/>
          <w:sz w:val="24"/>
          <w:szCs w:val="24"/>
        </w:rPr>
        <w:t>89,9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, </w:t>
      </w:r>
      <w:r w:rsidR="003E5231" w:rsidRPr="00734AEC">
        <w:rPr>
          <w:rFonts w:ascii="Times New Roman" w:hAnsi="Times New Roman" w:cs="Times New Roman"/>
          <w:sz w:val="24"/>
          <w:szCs w:val="24"/>
        </w:rPr>
        <w:t xml:space="preserve">Управление образования – 88,0, Управление социальной политики – 78,5, </w:t>
      </w:r>
      <w:r w:rsidRPr="00734AEC">
        <w:rPr>
          <w:rFonts w:ascii="Times New Roman" w:hAnsi="Times New Roman" w:cs="Times New Roman"/>
          <w:sz w:val="24"/>
          <w:szCs w:val="24"/>
        </w:rPr>
        <w:t>Управление экономиче</w:t>
      </w:r>
      <w:r w:rsidR="00485823" w:rsidRPr="00734AEC">
        <w:rPr>
          <w:rFonts w:ascii="Times New Roman" w:hAnsi="Times New Roman" w:cs="Times New Roman"/>
          <w:sz w:val="24"/>
          <w:szCs w:val="24"/>
        </w:rPr>
        <w:t>ской политики (в отношении МАУ «</w:t>
      </w:r>
      <w:r w:rsidRPr="00734AEC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</w:t>
      </w:r>
      <w:r w:rsidR="00485823" w:rsidRPr="00734AEC">
        <w:rPr>
          <w:rFonts w:ascii="Times New Roman" w:hAnsi="Times New Roman" w:cs="Times New Roman"/>
          <w:sz w:val="24"/>
          <w:szCs w:val="24"/>
        </w:rPr>
        <w:t xml:space="preserve">иципальных услуг») – </w:t>
      </w:r>
      <w:r w:rsidR="003E5231" w:rsidRPr="00734AEC">
        <w:rPr>
          <w:rFonts w:ascii="Times New Roman" w:hAnsi="Times New Roman" w:cs="Times New Roman"/>
          <w:sz w:val="24"/>
          <w:szCs w:val="24"/>
        </w:rPr>
        <w:t>77,8</w:t>
      </w:r>
      <w:r w:rsidR="00485823" w:rsidRPr="00734AEC">
        <w:rPr>
          <w:rFonts w:ascii="Times New Roman" w:hAnsi="Times New Roman" w:cs="Times New Roman"/>
          <w:sz w:val="24"/>
          <w:szCs w:val="24"/>
        </w:rPr>
        <w:t xml:space="preserve">, 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Остальные </w:t>
      </w:r>
      <w:r w:rsidR="0004656D" w:rsidRPr="00734AEC">
        <w:rPr>
          <w:rFonts w:ascii="Times New Roman" w:hAnsi="Times New Roman" w:cs="Times New Roman"/>
          <w:sz w:val="24"/>
          <w:szCs w:val="24"/>
        </w:rPr>
        <w:t>6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 ГАБС имеют значения балльной оценки качества финансового менеджмента ниже среднего</w:t>
      </w:r>
      <w:r w:rsidR="0004656D" w:rsidRPr="00734AEC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, из них </w:t>
      </w:r>
      <w:r w:rsidR="003E5231" w:rsidRPr="00734AEC">
        <w:rPr>
          <w:rFonts w:ascii="Times New Roman" w:hAnsi="Times New Roman" w:cs="Times New Roman"/>
          <w:sz w:val="24"/>
          <w:szCs w:val="24"/>
        </w:rPr>
        <w:t xml:space="preserve">МКУ «Централизованная бухгалтерия» </w:t>
      </w:r>
      <w:r w:rsidR="00CB39C5" w:rsidRPr="00734AEC">
        <w:rPr>
          <w:rFonts w:ascii="Times New Roman" w:hAnsi="Times New Roman" w:cs="Times New Roman"/>
          <w:sz w:val="24"/>
          <w:szCs w:val="24"/>
        </w:rPr>
        <w:t>получил</w:t>
      </w:r>
      <w:r w:rsidR="002B33BB">
        <w:rPr>
          <w:rFonts w:ascii="Times New Roman" w:hAnsi="Times New Roman" w:cs="Times New Roman"/>
          <w:sz w:val="24"/>
          <w:szCs w:val="24"/>
        </w:rPr>
        <w:t>о</w:t>
      </w:r>
      <w:r w:rsidR="0004656D" w:rsidRPr="00734AEC">
        <w:rPr>
          <w:rFonts w:ascii="Times New Roman" w:hAnsi="Times New Roman" w:cs="Times New Roman"/>
          <w:sz w:val="24"/>
          <w:szCs w:val="24"/>
        </w:rPr>
        <w:t xml:space="preserve"> самую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 низк</w:t>
      </w:r>
      <w:r w:rsidR="0004656D" w:rsidRPr="00734AEC">
        <w:rPr>
          <w:rFonts w:ascii="Times New Roman" w:hAnsi="Times New Roman" w:cs="Times New Roman"/>
          <w:sz w:val="24"/>
          <w:szCs w:val="24"/>
        </w:rPr>
        <w:t>ую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 оценк</w:t>
      </w:r>
      <w:r w:rsidR="0004656D" w:rsidRPr="00734AEC">
        <w:rPr>
          <w:rFonts w:ascii="Times New Roman" w:hAnsi="Times New Roman" w:cs="Times New Roman"/>
          <w:sz w:val="24"/>
          <w:szCs w:val="24"/>
        </w:rPr>
        <w:t>у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, набрав </w:t>
      </w:r>
      <w:r w:rsidR="00734AEC" w:rsidRPr="00734AEC">
        <w:rPr>
          <w:rFonts w:ascii="Times New Roman" w:hAnsi="Times New Roman" w:cs="Times New Roman"/>
          <w:sz w:val="24"/>
          <w:szCs w:val="24"/>
        </w:rPr>
        <w:t>63,3</w:t>
      </w:r>
      <w:r w:rsidR="00CB39C5" w:rsidRPr="00734AEC">
        <w:rPr>
          <w:rFonts w:ascii="Times New Roman" w:hAnsi="Times New Roman" w:cs="Times New Roman"/>
          <w:sz w:val="24"/>
          <w:szCs w:val="24"/>
        </w:rPr>
        <w:t xml:space="preserve"> баллов.</w:t>
      </w:r>
      <w:r w:rsidR="00CB39C5" w:rsidRPr="009A1A75">
        <w:rPr>
          <w:noProof/>
          <w:color w:val="FF0000"/>
          <w:sz w:val="24"/>
          <w:szCs w:val="24"/>
        </w:rPr>
        <w:t xml:space="preserve"> </w:t>
      </w:r>
      <w:proofErr w:type="gramEnd"/>
    </w:p>
    <w:p w:rsidR="00F534FA" w:rsidRPr="00F534FA" w:rsidRDefault="00F534FA" w:rsidP="00CB39C5">
      <w:pPr>
        <w:spacing w:after="0" w:line="240" w:lineRule="auto"/>
        <w:ind w:firstLine="709"/>
        <w:jc w:val="both"/>
        <w:rPr>
          <w:noProof/>
          <w:color w:val="FF0000"/>
          <w:sz w:val="16"/>
          <w:szCs w:val="16"/>
        </w:rPr>
      </w:pPr>
    </w:p>
    <w:p w:rsidR="00CB39C5" w:rsidRPr="009A1A75" w:rsidRDefault="00CB39C5" w:rsidP="008A6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A75">
        <w:rPr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6537026" cy="2786332"/>
            <wp:effectExtent l="19050" t="0" r="16174" b="0"/>
            <wp:docPr id="21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CD016B" w:rsidRDefault="00CD016B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Pr="00416766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766">
        <w:rPr>
          <w:rFonts w:ascii="Times New Roman" w:hAnsi="Times New Roman" w:cs="Times New Roman"/>
          <w:sz w:val="24"/>
          <w:szCs w:val="24"/>
        </w:rPr>
        <w:t xml:space="preserve">Оценка результатов исполнения бюджета проведена по </w:t>
      </w:r>
      <w:r w:rsidR="009B47F3" w:rsidRPr="00416766">
        <w:rPr>
          <w:rFonts w:ascii="Times New Roman" w:hAnsi="Times New Roman" w:cs="Times New Roman"/>
          <w:sz w:val="24"/>
          <w:szCs w:val="24"/>
        </w:rPr>
        <w:t>шестнад</w:t>
      </w:r>
      <w:r w:rsidRPr="00416766">
        <w:rPr>
          <w:rFonts w:ascii="Times New Roman" w:hAnsi="Times New Roman" w:cs="Times New Roman"/>
          <w:sz w:val="24"/>
          <w:szCs w:val="24"/>
        </w:rPr>
        <w:t>цати показателям:</w:t>
      </w:r>
    </w:p>
    <w:p w:rsidR="00D8189C" w:rsidRPr="00416766" w:rsidRDefault="00D8189C" w:rsidP="00F3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A75">
        <w:rPr>
          <w:rFonts w:ascii="Times New Roman" w:hAnsi="Times New Roman" w:cs="Times New Roman"/>
          <w:sz w:val="24"/>
          <w:szCs w:val="24"/>
        </w:rPr>
        <w:tab/>
      </w:r>
      <w:r w:rsidRPr="00416766">
        <w:rPr>
          <w:rFonts w:ascii="Times New Roman" w:hAnsi="Times New Roman" w:cs="Times New Roman"/>
          <w:sz w:val="24"/>
          <w:szCs w:val="24"/>
        </w:rPr>
        <w:t>1) Показатель 2.1. «Соблюдение сроков представления утверждённой бюджетной росписи ГРБС в департамент финансов».</w:t>
      </w:r>
    </w:p>
    <w:p w:rsidR="00D8189C" w:rsidRPr="00416766" w:rsidRDefault="00D8189C" w:rsidP="00F3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6766">
        <w:rPr>
          <w:rFonts w:ascii="Times New Roman" w:hAnsi="Times New Roman" w:cs="Times New Roman"/>
          <w:sz w:val="24"/>
          <w:szCs w:val="24"/>
        </w:rPr>
        <w:tab/>
        <w:t>Показатель характеризует своевременность представления утвержд</w:t>
      </w:r>
      <w:r w:rsidR="002440F4" w:rsidRPr="00416766">
        <w:rPr>
          <w:rFonts w:ascii="Times New Roman" w:hAnsi="Times New Roman" w:cs="Times New Roman"/>
          <w:sz w:val="24"/>
          <w:szCs w:val="24"/>
        </w:rPr>
        <w:t>енной бюджетной росписи ГРБС в Д</w:t>
      </w:r>
      <w:r w:rsidRPr="00416766">
        <w:rPr>
          <w:rFonts w:ascii="Times New Roman" w:hAnsi="Times New Roman" w:cs="Times New Roman"/>
          <w:sz w:val="24"/>
          <w:szCs w:val="24"/>
        </w:rPr>
        <w:t xml:space="preserve">епартамент финансов. </w:t>
      </w:r>
    </w:p>
    <w:p w:rsidR="00D8189C" w:rsidRPr="00416766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766">
        <w:rPr>
          <w:rFonts w:ascii="Times New Roman" w:hAnsi="Times New Roman" w:cs="Times New Roman"/>
          <w:sz w:val="24"/>
          <w:szCs w:val="24"/>
        </w:rPr>
        <w:t xml:space="preserve">Показатель по </w:t>
      </w:r>
      <w:r w:rsidR="00B9718E" w:rsidRPr="00416766">
        <w:rPr>
          <w:rFonts w:ascii="Times New Roman" w:hAnsi="Times New Roman" w:cs="Times New Roman"/>
          <w:sz w:val="24"/>
          <w:szCs w:val="24"/>
        </w:rPr>
        <w:t xml:space="preserve">МКУ «Централизованная бухгалтерия», МКУ «Служба обеспечения органов местного самоуправления», </w:t>
      </w:r>
      <w:r w:rsidRPr="00416766">
        <w:rPr>
          <w:rFonts w:ascii="Times New Roman" w:hAnsi="Times New Roman" w:cs="Times New Roman"/>
          <w:sz w:val="24"/>
          <w:szCs w:val="24"/>
        </w:rPr>
        <w:t>Управлени</w:t>
      </w:r>
      <w:r w:rsidR="00B9718E" w:rsidRPr="00416766">
        <w:rPr>
          <w:rFonts w:ascii="Times New Roman" w:hAnsi="Times New Roman" w:cs="Times New Roman"/>
          <w:sz w:val="24"/>
          <w:szCs w:val="24"/>
        </w:rPr>
        <w:t>ю</w:t>
      </w:r>
      <w:r w:rsidRPr="00416766">
        <w:rPr>
          <w:rFonts w:ascii="Times New Roman" w:hAnsi="Times New Roman" w:cs="Times New Roman"/>
          <w:sz w:val="24"/>
          <w:szCs w:val="24"/>
        </w:rPr>
        <w:t xml:space="preserve"> экономической политики (</w:t>
      </w:r>
      <w:r w:rsidR="00B9718E" w:rsidRPr="00416766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416766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 не оценивался</w:t>
      </w:r>
      <w:r w:rsidR="00B9718E" w:rsidRPr="00416766">
        <w:rPr>
          <w:rFonts w:ascii="Times New Roman" w:hAnsi="Times New Roman" w:cs="Times New Roman"/>
          <w:sz w:val="24"/>
          <w:szCs w:val="24"/>
        </w:rPr>
        <w:t>, так как они</w:t>
      </w:r>
      <w:r w:rsidRPr="00416766">
        <w:rPr>
          <w:rFonts w:ascii="Times New Roman" w:hAnsi="Times New Roman" w:cs="Times New Roman"/>
          <w:sz w:val="24"/>
          <w:szCs w:val="24"/>
        </w:rPr>
        <w:t xml:space="preserve"> не формирует отдельную бюджетную роспись ГРБС</w:t>
      </w:r>
      <w:r w:rsidR="00B9718E" w:rsidRPr="00416766">
        <w:rPr>
          <w:rFonts w:ascii="Times New Roman" w:hAnsi="Times New Roman" w:cs="Times New Roman"/>
          <w:sz w:val="24"/>
          <w:szCs w:val="24"/>
        </w:rPr>
        <w:t xml:space="preserve"> (</w:t>
      </w:r>
      <w:r w:rsidRPr="00416766">
        <w:rPr>
          <w:rFonts w:ascii="Times New Roman" w:hAnsi="Times New Roman" w:cs="Times New Roman"/>
          <w:sz w:val="24"/>
          <w:szCs w:val="24"/>
        </w:rPr>
        <w:t>бюджетные ассигнования входят в состав бюджетной росписи Администрации города Югорска</w:t>
      </w:r>
      <w:r w:rsidR="00B9718E" w:rsidRPr="00416766">
        <w:rPr>
          <w:rFonts w:ascii="Times New Roman" w:hAnsi="Times New Roman" w:cs="Times New Roman"/>
          <w:sz w:val="24"/>
          <w:szCs w:val="24"/>
        </w:rPr>
        <w:t>)</w:t>
      </w:r>
      <w:r w:rsidRPr="00416766">
        <w:rPr>
          <w:rFonts w:ascii="Times New Roman" w:hAnsi="Times New Roman" w:cs="Times New Roman"/>
          <w:sz w:val="24"/>
          <w:szCs w:val="24"/>
        </w:rPr>
        <w:t>.</w:t>
      </w:r>
    </w:p>
    <w:p w:rsidR="00B9718E" w:rsidRPr="00416766" w:rsidRDefault="00B9718E" w:rsidP="00B97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766">
        <w:rPr>
          <w:rFonts w:ascii="Times New Roman" w:hAnsi="Times New Roman" w:cs="Times New Roman"/>
          <w:sz w:val="24"/>
          <w:szCs w:val="24"/>
        </w:rPr>
        <w:t>Максимальное значение оценки показателя 100,0 баллов набрал</w:t>
      </w:r>
      <w:r w:rsidR="00BA0A88" w:rsidRPr="00416766">
        <w:rPr>
          <w:rFonts w:ascii="Times New Roman" w:hAnsi="Times New Roman" w:cs="Times New Roman"/>
          <w:sz w:val="24"/>
          <w:szCs w:val="24"/>
        </w:rPr>
        <w:t>и</w:t>
      </w:r>
      <w:r w:rsidRPr="00416766">
        <w:rPr>
          <w:rFonts w:ascii="Times New Roman" w:hAnsi="Times New Roman" w:cs="Times New Roman"/>
          <w:sz w:val="24"/>
          <w:szCs w:val="24"/>
        </w:rPr>
        <w:t xml:space="preserve"> Департамент финансов</w:t>
      </w:r>
      <w:r w:rsidR="00BA0A88" w:rsidRPr="00416766">
        <w:rPr>
          <w:rFonts w:ascii="Times New Roman" w:hAnsi="Times New Roman" w:cs="Times New Roman"/>
          <w:sz w:val="24"/>
          <w:szCs w:val="24"/>
        </w:rPr>
        <w:t>, Администрация города Югорска, Департамент жилищно-коммунального и строительного комплекса, Департамент муниципальной собственности и градостроительства</w:t>
      </w:r>
      <w:r w:rsidR="00CF1B2B">
        <w:rPr>
          <w:rFonts w:ascii="Times New Roman" w:hAnsi="Times New Roman" w:cs="Times New Roman"/>
          <w:sz w:val="24"/>
          <w:szCs w:val="24"/>
        </w:rPr>
        <w:t>, Управление образования</w:t>
      </w:r>
      <w:r w:rsidRPr="00416766">
        <w:rPr>
          <w:rFonts w:ascii="Times New Roman" w:hAnsi="Times New Roman" w:cs="Times New Roman"/>
          <w:sz w:val="24"/>
          <w:szCs w:val="24"/>
        </w:rPr>
        <w:t>.</w:t>
      </w:r>
    </w:p>
    <w:p w:rsidR="00BA0A88" w:rsidRPr="00416766" w:rsidRDefault="00CF1B2B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Два</w:t>
      </w:r>
      <w:r w:rsidR="00BA0A88" w:rsidRPr="00416766">
        <w:rPr>
          <w:rFonts w:ascii="Times New Roman" w:hAnsi="Times New Roman" w:cs="Times New Roman"/>
          <w:sz w:val="24"/>
          <w:szCs w:val="24"/>
        </w:rPr>
        <w:t xml:space="preserve"> раза</w:t>
      </w:r>
      <w:r w:rsidR="00942A9B" w:rsidRPr="00416766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416766">
        <w:rPr>
          <w:rFonts w:ascii="Times New Roman" w:hAnsi="Times New Roman" w:cs="Times New Roman"/>
          <w:sz w:val="24"/>
          <w:szCs w:val="24"/>
        </w:rPr>
        <w:t>н</w:t>
      </w:r>
      <w:r w:rsidR="00942A9B" w:rsidRPr="00416766">
        <w:rPr>
          <w:rFonts w:ascii="Times New Roman" w:hAnsi="Times New Roman" w:cs="Times New Roman"/>
          <w:sz w:val="24"/>
          <w:szCs w:val="24"/>
        </w:rPr>
        <w:t>а</w:t>
      </w:r>
      <w:r w:rsidR="00D8189C" w:rsidRPr="00416766">
        <w:rPr>
          <w:rFonts w:ascii="Times New Roman" w:hAnsi="Times New Roman" w:cs="Times New Roman"/>
          <w:sz w:val="24"/>
          <w:szCs w:val="24"/>
        </w:rPr>
        <w:t>руш</w:t>
      </w:r>
      <w:r w:rsidR="00BA0A88" w:rsidRPr="00416766">
        <w:rPr>
          <w:rFonts w:ascii="Times New Roman" w:hAnsi="Times New Roman" w:cs="Times New Roman"/>
          <w:sz w:val="24"/>
          <w:szCs w:val="24"/>
        </w:rPr>
        <w:t>ила</w:t>
      </w:r>
      <w:r w:rsidR="00D8189C" w:rsidRPr="00416766">
        <w:rPr>
          <w:rFonts w:ascii="Times New Roman" w:hAnsi="Times New Roman" w:cs="Times New Roman"/>
          <w:sz w:val="24"/>
          <w:szCs w:val="24"/>
        </w:rPr>
        <w:t xml:space="preserve"> срок предоставления </w:t>
      </w:r>
      <w:r w:rsidR="00942A9B" w:rsidRPr="00416766">
        <w:rPr>
          <w:rFonts w:ascii="Times New Roman" w:hAnsi="Times New Roman" w:cs="Times New Roman"/>
          <w:sz w:val="24"/>
          <w:szCs w:val="24"/>
        </w:rPr>
        <w:t xml:space="preserve">в </w:t>
      </w:r>
      <w:r w:rsidR="002440F4" w:rsidRPr="00416766">
        <w:rPr>
          <w:rFonts w:ascii="Times New Roman" w:hAnsi="Times New Roman" w:cs="Times New Roman"/>
          <w:sz w:val="24"/>
          <w:szCs w:val="24"/>
        </w:rPr>
        <w:t>Д</w:t>
      </w:r>
      <w:r w:rsidR="00942A9B" w:rsidRPr="00416766">
        <w:rPr>
          <w:rFonts w:ascii="Times New Roman" w:hAnsi="Times New Roman" w:cs="Times New Roman"/>
          <w:sz w:val="24"/>
          <w:szCs w:val="24"/>
        </w:rPr>
        <w:t xml:space="preserve">епартамент финансов утвержденной бюджетной росписи </w:t>
      </w:r>
      <w:r w:rsidR="00BA0A88" w:rsidRPr="00416766">
        <w:rPr>
          <w:rFonts w:ascii="Times New Roman" w:hAnsi="Times New Roman" w:cs="Times New Roman"/>
          <w:sz w:val="24"/>
          <w:szCs w:val="24"/>
        </w:rPr>
        <w:t xml:space="preserve">Дума города Югорска - </w:t>
      </w:r>
      <w:r>
        <w:rPr>
          <w:rFonts w:ascii="Times New Roman" w:hAnsi="Times New Roman" w:cs="Times New Roman"/>
          <w:sz w:val="24"/>
          <w:szCs w:val="24"/>
        </w:rPr>
        <w:t>71</w:t>
      </w:r>
      <w:r w:rsidR="00942A9B" w:rsidRPr="00416766">
        <w:rPr>
          <w:rFonts w:ascii="Times New Roman" w:hAnsi="Times New Roman" w:cs="Times New Roman"/>
          <w:sz w:val="24"/>
          <w:szCs w:val="24"/>
        </w:rPr>
        <w:t xml:space="preserve"> балл</w:t>
      </w:r>
      <w:r w:rsidR="00BA0A88" w:rsidRPr="00416766">
        <w:rPr>
          <w:rFonts w:ascii="Times New Roman" w:hAnsi="Times New Roman" w:cs="Times New Roman"/>
          <w:sz w:val="24"/>
          <w:szCs w:val="24"/>
        </w:rPr>
        <w:t>.</w:t>
      </w:r>
      <w:r w:rsidR="00942A9B" w:rsidRPr="0041676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A0A88" w:rsidRPr="00416766" w:rsidRDefault="00BA0A88" w:rsidP="00BA0A8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766">
        <w:rPr>
          <w:rFonts w:ascii="Times New Roman" w:hAnsi="Times New Roman" w:cs="Times New Roman"/>
          <w:sz w:val="24"/>
          <w:szCs w:val="24"/>
        </w:rPr>
        <w:t xml:space="preserve">Наихудшие оценки получили Управление культуры и Управление социальной политики, набравшие </w:t>
      </w:r>
      <w:r w:rsidR="009C45AB" w:rsidRPr="00416766">
        <w:rPr>
          <w:rFonts w:ascii="Times New Roman" w:hAnsi="Times New Roman" w:cs="Times New Roman"/>
          <w:sz w:val="24"/>
          <w:szCs w:val="24"/>
        </w:rPr>
        <w:t xml:space="preserve"> по </w:t>
      </w:r>
      <w:r w:rsidR="00CF1B2B">
        <w:rPr>
          <w:rFonts w:ascii="Times New Roman" w:hAnsi="Times New Roman" w:cs="Times New Roman"/>
          <w:sz w:val="24"/>
          <w:szCs w:val="24"/>
        </w:rPr>
        <w:t>57</w:t>
      </w:r>
      <w:r w:rsidRPr="00416766">
        <w:rPr>
          <w:rFonts w:ascii="Times New Roman" w:hAnsi="Times New Roman" w:cs="Times New Roman"/>
          <w:sz w:val="24"/>
          <w:szCs w:val="24"/>
        </w:rPr>
        <w:t xml:space="preserve"> баллов.</w:t>
      </w:r>
    </w:p>
    <w:p w:rsidR="00B9718E" w:rsidRPr="00416766" w:rsidRDefault="00B9718E" w:rsidP="00B97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766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CF1B2B">
        <w:rPr>
          <w:rFonts w:ascii="Times New Roman" w:hAnsi="Times New Roman" w:cs="Times New Roman"/>
          <w:sz w:val="24"/>
          <w:szCs w:val="24"/>
        </w:rPr>
        <w:t>86,0</w:t>
      </w:r>
      <w:r w:rsidRPr="00416766">
        <w:rPr>
          <w:rFonts w:ascii="Times New Roman" w:hAnsi="Times New Roman" w:cs="Times New Roman"/>
          <w:sz w:val="24"/>
          <w:szCs w:val="24"/>
        </w:rPr>
        <w:t xml:space="preserve"> балл</w:t>
      </w:r>
      <w:r w:rsidR="00942A9B" w:rsidRPr="00416766">
        <w:rPr>
          <w:rFonts w:ascii="Times New Roman" w:hAnsi="Times New Roman" w:cs="Times New Roman"/>
          <w:sz w:val="24"/>
          <w:szCs w:val="24"/>
        </w:rPr>
        <w:t>ов</w:t>
      </w:r>
      <w:r w:rsidRPr="00416766">
        <w:rPr>
          <w:rFonts w:ascii="Times New Roman" w:hAnsi="Times New Roman" w:cs="Times New Roman"/>
          <w:sz w:val="24"/>
          <w:szCs w:val="24"/>
        </w:rPr>
        <w:t xml:space="preserve">, что </w:t>
      </w:r>
      <w:r w:rsidR="009C45AB" w:rsidRPr="00416766">
        <w:rPr>
          <w:rFonts w:ascii="Times New Roman" w:hAnsi="Times New Roman" w:cs="Times New Roman"/>
          <w:sz w:val="24"/>
          <w:szCs w:val="24"/>
        </w:rPr>
        <w:t>выше</w:t>
      </w:r>
      <w:r w:rsidRPr="00416766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110368" w:rsidRPr="00416766">
        <w:rPr>
          <w:rFonts w:ascii="Times New Roman" w:hAnsi="Times New Roman" w:cs="Times New Roman"/>
          <w:sz w:val="24"/>
          <w:szCs w:val="24"/>
        </w:rPr>
        <w:t>5</w:t>
      </w:r>
      <w:r w:rsidRPr="00416766">
        <w:rPr>
          <w:rFonts w:ascii="Times New Roman" w:hAnsi="Times New Roman" w:cs="Times New Roman"/>
          <w:sz w:val="24"/>
          <w:szCs w:val="24"/>
        </w:rPr>
        <w:t xml:space="preserve"> год</w:t>
      </w:r>
      <w:r w:rsidR="009C45AB" w:rsidRPr="00416766">
        <w:rPr>
          <w:rFonts w:ascii="Times New Roman" w:hAnsi="Times New Roman" w:cs="Times New Roman"/>
          <w:sz w:val="24"/>
          <w:szCs w:val="24"/>
        </w:rPr>
        <w:t>а</w:t>
      </w:r>
      <w:r w:rsidRPr="00416766">
        <w:rPr>
          <w:rFonts w:ascii="Times New Roman" w:hAnsi="Times New Roman" w:cs="Times New Roman"/>
          <w:sz w:val="24"/>
          <w:szCs w:val="24"/>
        </w:rPr>
        <w:t xml:space="preserve"> на </w:t>
      </w:r>
      <w:r w:rsidR="00CF1B2B">
        <w:rPr>
          <w:rFonts w:ascii="Times New Roman" w:hAnsi="Times New Roman" w:cs="Times New Roman"/>
          <w:sz w:val="24"/>
          <w:szCs w:val="24"/>
        </w:rPr>
        <w:t>16</w:t>
      </w:r>
      <w:r w:rsidRPr="00416766">
        <w:rPr>
          <w:rFonts w:ascii="Times New Roman" w:hAnsi="Times New Roman" w:cs="Times New Roman"/>
          <w:sz w:val="24"/>
          <w:szCs w:val="24"/>
        </w:rPr>
        <w:t xml:space="preserve"> балл</w:t>
      </w:r>
      <w:r w:rsidR="00942A9B" w:rsidRPr="00416766">
        <w:rPr>
          <w:rFonts w:ascii="Times New Roman" w:hAnsi="Times New Roman" w:cs="Times New Roman"/>
          <w:sz w:val="24"/>
          <w:szCs w:val="24"/>
        </w:rPr>
        <w:t>ов</w:t>
      </w:r>
      <w:r w:rsidR="00110368" w:rsidRPr="00416766">
        <w:rPr>
          <w:rFonts w:ascii="Times New Roman" w:hAnsi="Times New Roman" w:cs="Times New Roman"/>
          <w:sz w:val="24"/>
          <w:szCs w:val="24"/>
        </w:rPr>
        <w:t xml:space="preserve"> (в 2015</w:t>
      </w:r>
      <w:r w:rsidRPr="00416766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110368" w:rsidRPr="00416766">
        <w:rPr>
          <w:rFonts w:ascii="Times New Roman" w:hAnsi="Times New Roman" w:cs="Times New Roman"/>
          <w:sz w:val="24"/>
          <w:szCs w:val="24"/>
        </w:rPr>
        <w:t>70</w:t>
      </w:r>
      <w:r w:rsidR="00942A9B" w:rsidRPr="00416766">
        <w:rPr>
          <w:rFonts w:ascii="Times New Roman" w:hAnsi="Times New Roman" w:cs="Times New Roman"/>
          <w:sz w:val="24"/>
          <w:szCs w:val="24"/>
        </w:rPr>
        <w:t>,0</w:t>
      </w:r>
      <w:r w:rsidRPr="00416766">
        <w:rPr>
          <w:rFonts w:ascii="Times New Roman" w:hAnsi="Times New Roman" w:cs="Times New Roman"/>
          <w:sz w:val="24"/>
          <w:szCs w:val="24"/>
        </w:rPr>
        <w:t xml:space="preserve"> балл</w:t>
      </w:r>
      <w:r w:rsidR="003421EB">
        <w:rPr>
          <w:rFonts w:ascii="Times New Roman" w:hAnsi="Times New Roman" w:cs="Times New Roman"/>
          <w:sz w:val="24"/>
          <w:szCs w:val="24"/>
        </w:rPr>
        <w:t>ов</w:t>
      </w:r>
      <w:r w:rsidRPr="00416766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CF1B2B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>2) Показатель 2.2</w:t>
      </w:r>
      <w:r w:rsidR="00622C90" w:rsidRPr="00CF1B2B">
        <w:rPr>
          <w:rFonts w:ascii="Times New Roman" w:hAnsi="Times New Roman" w:cs="Times New Roman"/>
          <w:sz w:val="24"/>
          <w:szCs w:val="24"/>
        </w:rPr>
        <w:t>.</w:t>
      </w:r>
      <w:r w:rsidRPr="00CF1B2B">
        <w:rPr>
          <w:rFonts w:ascii="Times New Roman" w:hAnsi="Times New Roman" w:cs="Times New Roman"/>
          <w:sz w:val="24"/>
          <w:szCs w:val="24"/>
        </w:rPr>
        <w:t xml:space="preserve"> «Доля исполненных бюджетных ассигнований».</w:t>
      </w:r>
    </w:p>
    <w:p w:rsidR="00D8189C" w:rsidRPr="00CF1B2B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>Показатель характеризует исполнение бюджетных ассигнований на конец отчётного периода</w:t>
      </w:r>
      <w:r w:rsidR="00942A9B" w:rsidRPr="00CF1B2B">
        <w:rPr>
          <w:rFonts w:ascii="Times New Roman" w:hAnsi="Times New Roman" w:cs="Times New Roman"/>
          <w:sz w:val="24"/>
          <w:szCs w:val="24"/>
        </w:rPr>
        <w:t>. Допустимое отклонение - ≥ 5%</w:t>
      </w:r>
      <w:r w:rsidRPr="00CF1B2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189C" w:rsidRPr="00CF1B2B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Значение показателя по всем ГАБС составило </w:t>
      </w:r>
      <w:r w:rsidR="00942A9B" w:rsidRPr="00CF1B2B">
        <w:rPr>
          <w:rFonts w:ascii="Times New Roman" w:hAnsi="Times New Roman" w:cs="Times New Roman"/>
          <w:sz w:val="24"/>
          <w:szCs w:val="24"/>
        </w:rPr>
        <w:t>100</w:t>
      </w:r>
      <w:r w:rsidRPr="00CF1B2B">
        <w:rPr>
          <w:rFonts w:ascii="Times New Roman" w:hAnsi="Times New Roman" w:cs="Times New Roman"/>
          <w:sz w:val="24"/>
          <w:szCs w:val="24"/>
        </w:rPr>
        <w:t xml:space="preserve">,0 % </w:t>
      </w:r>
      <w:r w:rsidR="00942A9B" w:rsidRPr="00CF1B2B">
        <w:rPr>
          <w:rFonts w:ascii="Times New Roman" w:hAnsi="Times New Roman" w:cs="Times New Roman"/>
          <w:sz w:val="24"/>
          <w:szCs w:val="24"/>
        </w:rPr>
        <w:t>(максимальное значение)</w:t>
      </w:r>
      <w:r w:rsidR="009C45AB" w:rsidRPr="00CF1B2B">
        <w:rPr>
          <w:rFonts w:ascii="Times New Roman" w:hAnsi="Times New Roman" w:cs="Times New Roman"/>
          <w:sz w:val="24"/>
          <w:szCs w:val="24"/>
        </w:rPr>
        <w:t>.</w:t>
      </w:r>
    </w:p>
    <w:p w:rsidR="00942A9B" w:rsidRPr="00CF1B2B" w:rsidRDefault="00942A9B" w:rsidP="00942A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9C45AB" w:rsidRPr="00CF1B2B">
        <w:rPr>
          <w:rFonts w:ascii="Times New Roman" w:hAnsi="Times New Roman" w:cs="Times New Roman"/>
          <w:sz w:val="24"/>
          <w:szCs w:val="24"/>
        </w:rPr>
        <w:t>100</w:t>
      </w:r>
      <w:r w:rsidRPr="00CF1B2B">
        <w:rPr>
          <w:rFonts w:ascii="Times New Roman" w:hAnsi="Times New Roman" w:cs="Times New Roman"/>
          <w:sz w:val="24"/>
          <w:szCs w:val="24"/>
        </w:rPr>
        <w:t xml:space="preserve"> баллов, что </w:t>
      </w:r>
      <w:r w:rsidR="009C45AB" w:rsidRPr="00CF1B2B">
        <w:rPr>
          <w:rFonts w:ascii="Times New Roman" w:hAnsi="Times New Roman" w:cs="Times New Roman"/>
          <w:sz w:val="24"/>
          <w:szCs w:val="24"/>
        </w:rPr>
        <w:t>выше</w:t>
      </w:r>
      <w:r w:rsidRPr="00CF1B2B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622C90" w:rsidRPr="00CF1B2B">
        <w:rPr>
          <w:rFonts w:ascii="Times New Roman" w:hAnsi="Times New Roman" w:cs="Times New Roman"/>
          <w:sz w:val="24"/>
          <w:szCs w:val="24"/>
        </w:rPr>
        <w:t>5</w:t>
      </w:r>
      <w:r w:rsidRPr="00CF1B2B">
        <w:rPr>
          <w:rFonts w:ascii="Times New Roman" w:hAnsi="Times New Roman" w:cs="Times New Roman"/>
          <w:sz w:val="24"/>
          <w:szCs w:val="24"/>
        </w:rPr>
        <w:t xml:space="preserve"> год на 0,1 балла (в 201</w:t>
      </w:r>
      <w:r w:rsidR="00622C90" w:rsidRPr="00CF1B2B">
        <w:rPr>
          <w:rFonts w:ascii="Times New Roman" w:hAnsi="Times New Roman" w:cs="Times New Roman"/>
          <w:sz w:val="24"/>
          <w:szCs w:val="24"/>
        </w:rPr>
        <w:t>5</w:t>
      </w:r>
      <w:r w:rsidRPr="00CF1B2B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205F66" w:rsidRPr="00CF1B2B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99,9</w:t>
      </w:r>
      <w:r w:rsidRPr="00CF1B2B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D8189C" w:rsidRPr="00CF1B2B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>3) Показатель 2.3</w:t>
      </w:r>
      <w:r w:rsidR="00205F66" w:rsidRPr="00CF1B2B">
        <w:rPr>
          <w:rFonts w:ascii="Times New Roman" w:hAnsi="Times New Roman" w:cs="Times New Roman"/>
          <w:sz w:val="24"/>
          <w:szCs w:val="24"/>
        </w:rPr>
        <w:t>.</w:t>
      </w:r>
      <w:r w:rsidRPr="00CF1B2B">
        <w:rPr>
          <w:rFonts w:ascii="Times New Roman" w:hAnsi="Times New Roman" w:cs="Times New Roman"/>
          <w:sz w:val="24"/>
          <w:szCs w:val="24"/>
        </w:rPr>
        <w:t xml:space="preserve"> «Равномерность расходов».</w:t>
      </w:r>
    </w:p>
    <w:p w:rsidR="00D8189C" w:rsidRPr="00CF1B2B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>Показатель характеризует равномерность кассовых расходов в течение отчётного периода.</w:t>
      </w:r>
    </w:p>
    <w:p w:rsidR="00D8189C" w:rsidRPr="00CF1B2B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При расчете показателя учитывался объем кассовых расходов в 4 квартале к среднему объему кассовых расходов за </w:t>
      </w:r>
      <w:r w:rsidR="003421EB">
        <w:rPr>
          <w:rFonts w:ascii="Times New Roman" w:hAnsi="Times New Roman" w:cs="Times New Roman"/>
          <w:sz w:val="24"/>
          <w:szCs w:val="24"/>
        </w:rPr>
        <w:t>1 - 3</w:t>
      </w:r>
      <w:r w:rsidRPr="00CF1B2B">
        <w:rPr>
          <w:rFonts w:ascii="Times New Roman" w:hAnsi="Times New Roman" w:cs="Times New Roman"/>
          <w:sz w:val="24"/>
          <w:szCs w:val="24"/>
        </w:rPr>
        <w:t xml:space="preserve"> кварталы отчетного финансового года. Целевым ориентиром для ГАБС являлось значение показателя менее 50,0%, учитывая, что оплата выполненных работ за декабрь отчетного периода производилась в декабре.</w:t>
      </w:r>
    </w:p>
    <w:p w:rsidR="00B176AB" w:rsidRPr="00CF1B2B" w:rsidRDefault="009C45AB" w:rsidP="00B176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>9</w:t>
      </w:r>
      <w:r w:rsidR="00B176AB" w:rsidRPr="00CF1B2B">
        <w:rPr>
          <w:rFonts w:ascii="Times New Roman" w:hAnsi="Times New Roman" w:cs="Times New Roman"/>
          <w:sz w:val="24"/>
          <w:szCs w:val="24"/>
        </w:rPr>
        <w:t xml:space="preserve"> ГРБС, или </w:t>
      </w:r>
      <w:r w:rsidRPr="00CF1B2B">
        <w:rPr>
          <w:rFonts w:ascii="Times New Roman" w:hAnsi="Times New Roman" w:cs="Times New Roman"/>
          <w:sz w:val="24"/>
          <w:szCs w:val="24"/>
        </w:rPr>
        <w:t>81,0</w:t>
      </w:r>
      <w:r w:rsidR="00B176AB" w:rsidRPr="00CF1B2B">
        <w:rPr>
          <w:rFonts w:ascii="Times New Roman" w:hAnsi="Times New Roman" w:cs="Times New Roman"/>
          <w:sz w:val="24"/>
          <w:szCs w:val="24"/>
        </w:rPr>
        <w:t> % от оцениваемого количества, удалось обеспечить достаточно равномерное исполнение расходов в течение отчётного финансового года, что позволило получить максимальную оценку по данному показателю – 1</w:t>
      </w:r>
      <w:r w:rsidR="0080062E" w:rsidRPr="00CF1B2B">
        <w:rPr>
          <w:rFonts w:ascii="Times New Roman" w:hAnsi="Times New Roman" w:cs="Times New Roman"/>
          <w:sz w:val="24"/>
          <w:szCs w:val="24"/>
        </w:rPr>
        <w:t>00,0 баллов</w:t>
      </w:r>
      <w:r w:rsidR="00B176AB" w:rsidRPr="00CF1B2B">
        <w:rPr>
          <w:rFonts w:ascii="Times New Roman" w:hAnsi="Times New Roman" w:cs="Times New Roman"/>
          <w:sz w:val="24"/>
          <w:szCs w:val="24"/>
        </w:rPr>
        <w:t>.</w:t>
      </w:r>
    </w:p>
    <w:p w:rsidR="00B176AB" w:rsidRPr="00CF1B2B" w:rsidRDefault="0080062E" w:rsidP="008006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Департамент жилищно-коммунального и строительного комплекса и Департамент муниципальной собственности и градостроительства набрали 0 баллов, так как их </w:t>
      </w:r>
      <w:r w:rsidR="00B176AB" w:rsidRPr="00CF1B2B">
        <w:rPr>
          <w:rFonts w:ascii="Times New Roman" w:hAnsi="Times New Roman" w:cs="Times New Roman"/>
          <w:sz w:val="24"/>
          <w:szCs w:val="24"/>
        </w:rPr>
        <w:t xml:space="preserve">расходы </w:t>
      </w:r>
      <w:r w:rsidR="003421EB">
        <w:rPr>
          <w:rFonts w:ascii="Times New Roman" w:hAnsi="Times New Roman" w:cs="Times New Roman"/>
          <w:sz w:val="24"/>
          <w:szCs w:val="24"/>
        </w:rPr>
        <w:t>4</w:t>
      </w:r>
      <w:r w:rsidR="00B176AB" w:rsidRPr="00CF1B2B">
        <w:rPr>
          <w:rFonts w:ascii="Times New Roman" w:hAnsi="Times New Roman" w:cs="Times New Roman"/>
          <w:sz w:val="24"/>
          <w:szCs w:val="24"/>
        </w:rPr>
        <w:t xml:space="preserve"> </w:t>
      </w:r>
      <w:r w:rsidR="00B176AB" w:rsidRPr="00CF1B2B">
        <w:rPr>
          <w:rFonts w:ascii="Times New Roman" w:hAnsi="Times New Roman" w:cs="Times New Roman"/>
          <w:sz w:val="24"/>
          <w:szCs w:val="24"/>
        </w:rPr>
        <w:lastRenderedPageBreak/>
        <w:t xml:space="preserve">квартала </w:t>
      </w:r>
      <w:r w:rsidRPr="00CF1B2B">
        <w:rPr>
          <w:rFonts w:ascii="Times New Roman" w:hAnsi="Times New Roman" w:cs="Times New Roman"/>
          <w:sz w:val="24"/>
          <w:szCs w:val="24"/>
        </w:rPr>
        <w:t>значительно</w:t>
      </w:r>
      <w:r w:rsidR="00B176AB" w:rsidRPr="00CF1B2B">
        <w:rPr>
          <w:rFonts w:ascii="Times New Roman" w:hAnsi="Times New Roman" w:cs="Times New Roman"/>
          <w:sz w:val="24"/>
          <w:szCs w:val="24"/>
        </w:rPr>
        <w:t xml:space="preserve"> превысили средний объём расходов, произведённых в I-III квартале 201</w:t>
      </w:r>
      <w:r w:rsidR="00925935" w:rsidRPr="00CF1B2B">
        <w:rPr>
          <w:rFonts w:ascii="Times New Roman" w:hAnsi="Times New Roman" w:cs="Times New Roman"/>
          <w:sz w:val="24"/>
          <w:szCs w:val="24"/>
        </w:rPr>
        <w:t>6</w:t>
      </w:r>
      <w:r w:rsidR="00B176AB" w:rsidRPr="00CF1B2B">
        <w:rPr>
          <w:rFonts w:ascii="Times New Roman" w:hAnsi="Times New Roman" w:cs="Times New Roman"/>
          <w:sz w:val="24"/>
          <w:szCs w:val="24"/>
        </w:rPr>
        <w:t xml:space="preserve"> года, в результате чего им были присвоены наименьшие оценки по данному показателю</w:t>
      </w:r>
      <w:r w:rsidRPr="00CF1B2B">
        <w:rPr>
          <w:rFonts w:ascii="Times New Roman" w:hAnsi="Times New Roman" w:cs="Times New Roman"/>
          <w:sz w:val="24"/>
          <w:szCs w:val="24"/>
        </w:rPr>
        <w:t>.</w:t>
      </w:r>
    </w:p>
    <w:p w:rsidR="0080062E" w:rsidRPr="00CF1B2B" w:rsidRDefault="0080062E" w:rsidP="008006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 81,</w:t>
      </w:r>
      <w:r w:rsidR="009C45AB" w:rsidRPr="00CF1B2B">
        <w:rPr>
          <w:rFonts w:ascii="Times New Roman" w:hAnsi="Times New Roman" w:cs="Times New Roman"/>
          <w:sz w:val="24"/>
          <w:szCs w:val="24"/>
        </w:rPr>
        <w:t>8</w:t>
      </w:r>
      <w:r w:rsidRPr="00CF1B2B">
        <w:rPr>
          <w:rFonts w:ascii="Times New Roman" w:hAnsi="Times New Roman" w:cs="Times New Roman"/>
          <w:sz w:val="24"/>
          <w:szCs w:val="24"/>
        </w:rPr>
        <w:t xml:space="preserve"> балла, что выше уровня за 201</w:t>
      </w:r>
      <w:r w:rsidR="008C4D56" w:rsidRPr="00CF1B2B">
        <w:rPr>
          <w:rFonts w:ascii="Times New Roman" w:hAnsi="Times New Roman" w:cs="Times New Roman"/>
          <w:sz w:val="24"/>
          <w:szCs w:val="24"/>
        </w:rPr>
        <w:t>5</w:t>
      </w:r>
      <w:r w:rsidRPr="00CF1B2B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9C45AB" w:rsidRPr="00CF1B2B">
        <w:rPr>
          <w:rFonts w:ascii="Times New Roman" w:hAnsi="Times New Roman" w:cs="Times New Roman"/>
          <w:sz w:val="24"/>
          <w:szCs w:val="24"/>
        </w:rPr>
        <w:t>0</w:t>
      </w:r>
      <w:r w:rsidRPr="00CF1B2B">
        <w:rPr>
          <w:rFonts w:ascii="Times New Roman" w:hAnsi="Times New Roman" w:cs="Times New Roman"/>
          <w:sz w:val="24"/>
          <w:szCs w:val="24"/>
        </w:rPr>
        <w:t>,7 балла (в 201</w:t>
      </w:r>
      <w:r w:rsidR="008C4D56" w:rsidRPr="00CF1B2B">
        <w:rPr>
          <w:rFonts w:ascii="Times New Roman" w:hAnsi="Times New Roman" w:cs="Times New Roman"/>
          <w:sz w:val="24"/>
          <w:szCs w:val="24"/>
        </w:rPr>
        <w:t>5</w:t>
      </w:r>
      <w:r w:rsidRPr="00CF1B2B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8C4D56" w:rsidRPr="00CF1B2B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81,1</w:t>
      </w:r>
      <w:r w:rsidRPr="00CF1B2B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D8189C" w:rsidRPr="00CF1B2B" w:rsidRDefault="00D8189C" w:rsidP="0080062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>4) Показатель 2.4</w:t>
      </w:r>
      <w:r w:rsidR="008C4D56" w:rsidRPr="00CF1B2B">
        <w:rPr>
          <w:rFonts w:ascii="Times New Roman" w:hAnsi="Times New Roman" w:cs="Times New Roman"/>
          <w:sz w:val="24"/>
          <w:szCs w:val="24"/>
        </w:rPr>
        <w:t>.</w:t>
      </w:r>
      <w:r w:rsidRPr="00CF1B2B">
        <w:rPr>
          <w:rFonts w:ascii="Times New Roman" w:hAnsi="Times New Roman" w:cs="Times New Roman"/>
          <w:sz w:val="24"/>
          <w:szCs w:val="24"/>
        </w:rPr>
        <w:t xml:space="preserve"> «Соблюдение порядка составления и ведения кассового плана исполнения бюджета города Югорска».</w:t>
      </w:r>
    </w:p>
    <w:p w:rsidR="006B7910" w:rsidRPr="00CF1B2B" w:rsidRDefault="006B7910" w:rsidP="006B7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Показатель по Управлению экономической политики не оценивался, так как оно не формирует отдельный кассовый план исполнения бюджета ГРБС (бюджетные ассигнования по расходам МАУ «Многофункциональный центр предоставления государственных и муниципальных услуг» входят в состав кассового </w:t>
      </w:r>
      <w:proofErr w:type="gramStart"/>
      <w:r w:rsidRPr="00CF1B2B">
        <w:rPr>
          <w:rFonts w:ascii="Times New Roman" w:hAnsi="Times New Roman" w:cs="Times New Roman"/>
          <w:sz w:val="24"/>
          <w:szCs w:val="24"/>
        </w:rPr>
        <w:t>плана исполнения бюджета Администрации города</w:t>
      </w:r>
      <w:proofErr w:type="gramEnd"/>
      <w:r w:rsidRPr="00CF1B2B">
        <w:rPr>
          <w:rFonts w:ascii="Times New Roman" w:hAnsi="Times New Roman" w:cs="Times New Roman"/>
          <w:sz w:val="24"/>
          <w:szCs w:val="24"/>
        </w:rPr>
        <w:t xml:space="preserve"> Югорска).</w:t>
      </w:r>
    </w:p>
    <w:p w:rsidR="001E5D7E" w:rsidRPr="00CF1B2B" w:rsidRDefault="001E5D7E" w:rsidP="001E5D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>Максимальное значение оценки показателя 100,0 баллов набрал</w:t>
      </w:r>
      <w:r w:rsidR="00CF1B2B">
        <w:rPr>
          <w:rFonts w:ascii="Times New Roman" w:hAnsi="Times New Roman" w:cs="Times New Roman"/>
          <w:sz w:val="24"/>
          <w:szCs w:val="24"/>
        </w:rPr>
        <w:t>и</w:t>
      </w:r>
      <w:r w:rsidRPr="00CF1B2B">
        <w:rPr>
          <w:rFonts w:ascii="Times New Roman" w:hAnsi="Times New Roman" w:cs="Times New Roman"/>
          <w:sz w:val="24"/>
          <w:szCs w:val="24"/>
        </w:rPr>
        <w:t xml:space="preserve"> Департамент финансов</w:t>
      </w:r>
      <w:r w:rsidR="00CF1B2B">
        <w:rPr>
          <w:rFonts w:ascii="Times New Roman" w:hAnsi="Times New Roman" w:cs="Times New Roman"/>
          <w:sz w:val="24"/>
          <w:szCs w:val="24"/>
        </w:rPr>
        <w:t xml:space="preserve"> и Управление образования</w:t>
      </w:r>
      <w:r w:rsidRPr="00CF1B2B">
        <w:rPr>
          <w:rFonts w:ascii="Times New Roman" w:hAnsi="Times New Roman" w:cs="Times New Roman"/>
          <w:sz w:val="24"/>
          <w:szCs w:val="24"/>
        </w:rPr>
        <w:t>.</w:t>
      </w:r>
    </w:p>
    <w:p w:rsidR="006B7910" w:rsidRPr="00CF1B2B" w:rsidRDefault="006B7910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По Департаменту </w:t>
      </w:r>
      <w:r w:rsidR="009C45AB" w:rsidRPr="00CF1B2B">
        <w:rPr>
          <w:rFonts w:ascii="Times New Roman" w:hAnsi="Times New Roman" w:cs="Times New Roman"/>
          <w:sz w:val="24"/>
          <w:szCs w:val="24"/>
        </w:rPr>
        <w:t>жилищно-коммунального и строительного комплекса</w:t>
      </w:r>
      <w:r w:rsidRPr="00CF1B2B">
        <w:rPr>
          <w:rFonts w:ascii="Times New Roman" w:hAnsi="Times New Roman" w:cs="Times New Roman"/>
          <w:sz w:val="24"/>
          <w:szCs w:val="24"/>
        </w:rPr>
        <w:t xml:space="preserve">, </w:t>
      </w:r>
      <w:r w:rsidR="00CF1B2B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 </w:t>
      </w:r>
      <w:r w:rsidRPr="00CF1B2B">
        <w:rPr>
          <w:rFonts w:ascii="Times New Roman" w:hAnsi="Times New Roman" w:cs="Times New Roman"/>
          <w:sz w:val="24"/>
          <w:szCs w:val="24"/>
        </w:rPr>
        <w:t>значение оценки показателя составило 80,0 баллов.</w:t>
      </w:r>
    </w:p>
    <w:p w:rsidR="006B7910" w:rsidRPr="00CF1B2B" w:rsidRDefault="006B7910" w:rsidP="006B7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CF1B2B">
        <w:rPr>
          <w:rFonts w:ascii="Times New Roman" w:hAnsi="Times New Roman" w:cs="Times New Roman"/>
          <w:sz w:val="24"/>
          <w:szCs w:val="24"/>
        </w:rPr>
        <w:t>54</w:t>
      </w:r>
      <w:r w:rsidRPr="00CF1B2B">
        <w:rPr>
          <w:rFonts w:ascii="Times New Roman" w:hAnsi="Times New Roman" w:cs="Times New Roman"/>
          <w:sz w:val="24"/>
          <w:szCs w:val="24"/>
        </w:rPr>
        <w:t xml:space="preserve">,0 балла, что </w:t>
      </w:r>
      <w:r w:rsidR="00CF1B2B">
        <w:rPr>
          <w:rFonts w:ascii="Times New Roman" w:hAnsi="Times New Roman" w:cs="Times New Roman"/>
          <w:sz w:val="24"/>
          <w:szCs w:val="24"/>
        </w:rPr>
        <w:t>выше</w:t>
      </w:r>
      <w:r w:rsidRPr="00CF1B2B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8B5EBA" w:rsidRPr="00CF1B2B">
        <w:rPr>
          <w:rFonts w:ascii="Times New Roman" w:hAnsi="Times New Roman" w:cs="Times New Roman"/>
          <w:sz w:val="24"/>
          <w:szCs w:val="24"/>
        </w:rPr>
        <w:t>5</w:t>
      </w:r>
      <w:r w:rsidRPr="00CF1B2B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CF1B2B">
        <w:rPr>
          <w:rFonts w:ascii="Times New Roman" w:hAnsi="Times New Roman" w:cs="Times New Roman"/>
          <w:sz w:val="24"/>
          <w:szCs w:val="24"/>
        </w:rPr>
        <w:t>10</w:t>
      </w:r>
      <w:r w:rsidRPr="00CF1B2B">
        <w:rPr>
          <w:rFonts w:ascii="Times New Roman" w:hAnsi="Times New Roman" w:cs="Times New Roman"/>
          <w:sz w:val="24"/>
          <w:szCs w:val="24"/>
        </w:rPr>
        <w:t xml:space="preserve"> балл</w:t>
      </w:r>
      <w:r w:rsidR="005579B8" w:rsidRPr="00CF1B2B">
        <w:rPr>
          <w:rFonts w:ascii="Times New Roman" w:hAnsi="Times New Roman" w:cs="Times New Roman"/>
          <w:sz w:val="24"/>
          <w:szCs w:val="24"/>
        </w:rPr>
        <w:t>ов</w:t>
      </w:r>
      <w:r w:rsidRPr="00CF1B2B">
        <w:rPr>
          <w:rFonts w:ascii="Times New Roman" w:hAnsi="Times New Roman" w:cs="Times New Roman"/>
          <w:sz w:val="24"/>
          <w:szCs w:val="24"/>
        </w:rPr>
        <w:t xml:space="preserve"> (в 201</w:t>
      </w:r>
      <w:r w:rsidR="008B5EBA" w:rsidRPr="00CF1B2B">
        <w:rPr>
          <w:rFonts w:ascii="Times New Roman" w:hAnsi="Times New Roman" w:cs="Times New Roman"/>
          <w:sz w:val="24"/>
          <w:szCs w:val="24"/>
        </w:rPr>
        <w:t>5</w:t>
      </w:r>
      <w:r w:rsidRPr="00CF1B2B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4</w:t>
      </w:r>
      <w:r w:rsidR="008B5EBA" w:rsidRPr="00CF1B2B">
        <w:rPr>
          <w:rFonts w:ascii="Times New Roman" w:hAnsi="Times New Roman" w:cs="Times New Roman"/>
          <w:sz w:val="24"/>
          <w:szCs w:val="24"/>
        </w:rPr>
        <w:t>4</w:t>
      </w:r>
      <w:r w:rsidRPr="00CF1B2B">
        <w:rPr>
          <w:rFonts w:ascii="Times New Roman" w:hAnsi="Times New Roman" w:cs="Times New Roman"/>
          <w:sz w:val="24"/>
          <w:szCs w:val="24"/>
        </w:rPr>
        <w:t>,0 балла).</w:t>
      </w:r>
    </w:p>
    <w:p w:rsidR="00D8189C" w:rsidRPr="00CF1B2B" w:rsidRDefault="006B7910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По </w:t>
      </w:r>
      <w:r w:rsidR="00CF1B2B">
        <w:rPr>
          <w:rFonts w:ascii="Times New Roman" w:hAnsi="Times New Roman" w:cs="Times New Roman"/>
          <w:sz w:val="24"/>
          <w:szCs w:val="24"/>
        </w:rPr>
        <w:t xml:space="preserve">остальным ГАБС </w:t>
      </w:r>
      <w:r w:rsidRPr="00CF1B2B">
        <w:rPr>
          <w:rFonts w:ascii="Times New Roman" w:hAnsi="Times New Roman" w:cs="Times New Roman"/>
          <w:sz w:val="24"/>
          <w:szCs w:val="24"/>
        </w:rPr>
        <w:t>значение оценки показателя составило 30,0 баллов (ниже среднего значения оценки). Выявлены ф</w:t>
      </w:r>
      <w:r w:rsidR="00D8189C" w:rsidRPr="00CF1B2B">
        <w:rPr>
          <w:rFonts w:ascii="Times New Roman" w:hAnsi="Times New Roman" w:cs="Times New Roman"/>
          <w:sz w:val="24"/>
          <w:szCs w:val="24"/>
        </w:rPr>
        <w:t xml:space="preserve">акты </w:t>
      </w:r>
      <w:r w:rsidRPr="00CF1B2B">
        <w:rPr>
          <w:rFonts w:ascii="Times New Roman" w:hAnsi="Times New Roman" w:cs="Times New Roman"/>
          <w:sz w:val="24"/>
          <w:szCs w:val="24"/>
        </w:rPr>
        <w:t xml:space="preserve">неоднократного </w:t>
      </w:r>
      <w:r w:rsidR="00D8189C" w:rsidRPr="00CF1B2B">
        <w:rPr>
          <w:rFonts w:ascii="Times New Roman" w:hAnsi="Times New Roman" w:cs="Times New Roman"/>
          <w:sz w:val="24"/>
          <w:szCs w:val="24"/>
        </w:rPr>
        <w:t xml:space="preserve">нарушения </w:t>
      </w:r>
      <w:r w:rsidRPr="00CF1B2B">
        <w:rPr>
          <w:rFonts w:ascii="Times New Roman" w:hAnsi="Times New Roman" w:cs="Times New Roman"/>
          <w:sz w:val="24"/>
          <w:szCs w:val="24"/>
        </w:rPr>
        <w:t xml:space="preserve">данными </w:t>
      </w:r>
      <w:r w:rsidR="00D8189C" w:rsidRPr="00CF1B2B">
        <w:rPr>
          <w:rFonts w:ascii="Times New Roman" w:hAnsi="Times New Roman" w:cs="Times New Roman"/>
          <w:sz w:val="24"/>
          <w:szCs w:val="24"/>
        </w:rPr>
        <w:t>ГАБС порядка составления и ведения кассового плана исполнения бюджета города Югорска.</w:t>
      </w:r>
    </w:p>
    <w:p w:rsidR="00D8189C" w:rsidRPr="00CF1B2B" w:rsidRDefault="00D8189C" w:rsidP="00F30D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1DDE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CF1B2B">
        <w:rPr>
          <w:rFonts w:ascii="Times New Roman" w:hAnsi="Times New Roman" w:cs="Times New Roman"/>
          <w:sz w:val="24"/>
          <w:szCs w:val="24"/>
        </w:rPr>
        <w:t>5) Показатель 2.5</w:t>
      </w:r>
      <w:r w:rsidR="00386FAA" w:rsidRPr="00CF1B2B">
        <w:rPr>
          <w:rFonts w:ascii="Times New Roman" w:hAnsi="Times New Roman" w:cs="Times New Roman"/>
          <w:sz w:val="24"/>
          <w:szCs w:val="24"/>
        </w:rPr>
        <w:t>.</w:t>
      </w:r>
      <w:r w:rsidRPr="00CF1B2B">
        <w:rPr>
          <w:rFonts w:ascii="Times New Roman" w:hAnsi="Times New Roman" w:cs="Times New Roman"/>
          <w:sz w:val="24"/>
          <w:szCs w:val="24"/>
        </w:rPr>
        <w:t xml:space="preserve"> «Качество </w:t>
      </w:r>
      <w:r w:rsidR="00386FAA" w:rsidRPr="00CF1B2B">
        <w:rPr>
          <w:rFonts w:ascii="Times New Roman" w:hAnsi="Times New Roman" w:cs="Times New Roman"/>
          <w:sz w:val="24"/>
          <w:szCs w:val="24"/>
        </w:rPr>
        <w:t xml:space="preserve">составления ГРБС </w:t>
      </w:r>
      <w:r w:rsidRPr="00CF1B2B">
        <w:rPr>
          <w:rFonts w:ascii="Times New Roman" w:hAnsi="Times New Roman" w:cs="Times New Roman"/>
          <w:sz w:val="24"/>
          <w:szCs w:val="24"/>
        </w:rPr>
        <w:t>прогноз</w:t>
      </w:r>
      <w:r w:rsidR="00386FAA" w:rsidRPr="00CF1B2B">
        <w:rPr>
          <w:rFonts w:ascii="Times New Roman" w:hAnsi="Times New Roman" w:cs="Times New Roman"/>
          <w:sz w:val="24"/>
          <w:szCs w:val="24"/>
        </w:rPr>
        <w:t>ов</w:t>
      </w:r>
      <w:r w:rsidRPr="00CF1B2B">
        <w:rPr>
          <w:rFonts w:ascii="Times New Roman" w:hAnsi="Times New Roman" w:cs="Times New Roman"/>
          <w:sz w:val="24"/>
          <w:szCs w:val="24"/>
        </w:rPr>
        <w:t xml:space="preserve"> </w:t>
      </w:r>
      <w:r w:rsidR="00930883" w:rsidRPr="00CF1B2B"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Pr="00CF1B2B">
        <w:rPr>
          <w:rFonts w:ascii="Times New Roman" w:hAnsi="Times New Roman" w:cs="Times New Roman"/>
          <w:sz w:val="24"/>
          <w:szCs w:val="24"/>
        </w:rPr>
        <w:t>кассовых выплат</w:t>
      </w:r>
      <w:r w:rsidR="00386FAA" w:rsidRPr="00CF1B2B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Pr="00CF1B2B">
        <w:rPr>
          <w:rFonts w:ascii="Times New Roman" w:hAnsi="Times New Roman" w:cs="Times New Roman"/>
          <w:sz w:val="24"/>
          <w:szCs w:val="24"/>
        </w:rPr>
        <w:t>».</w:t>
      </w:r>
    </w:p>
    <w:p w:rsidR="00D8189C" w:rsidRPr="00CF1B2B" w:rsidRDefault="00D8189C" w:rsidP="00F30DD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ab/>
        <w:t xml:space="preserve">Показатель характеризует качество составления </w:t>
      </w:r>
      <w:r w:rsidR="000F10C6" w:rsidRPr="00CF1B2B">
        <w:rPr>
          <w:rFonts w:ascii="Times New Roman" w:hAnsi="Times New Roman" w:cs="Times New Roman"/>
          <w:sz w:val="24"/>
          <w:szCs w:val="24"/>
        </w:rPr>
        <w:t>ГРБС</w:t>
      </w:r>
      <w:r w:rsidRPr="00CF1B2B">
        <w:rPr>
          <w:rFonts w:ascii="Times New Roman" w:hAnsi="Times New Roman" w:cs="Times New Roman"/>
          <w:sz w:val="24"/>
          <w:szCs w:val="24"/>
        </w:rPr>
        <w:t xml:space="preserve"> прогноз</w:t>
      </w:r>
      <w:r w:rsidR="000F10C6" w:rsidRPr="00CF1B2B">
        <w:rPr>
          <w:rFonts w:ascii="Times New Roman" w:hAnsi="Times New Roman" w:cs="Times New Roman"/>
          <w:sz w:val="24"/>
          <w:szCs w:val="24"/>
        </w:rPr>
        <w:t xml:space="preserve">ов отдельных </w:t>
      </w:r>
      <w:r w:rsidRPr="00CF1B2B">
        <w:rPr>
          <w:rFonts w:ascii="Times New Roman" w:hAnsi="Times New Roman" w:cs="Times New Roman"/>
          <w:sz w:val="24"/>
          <w:szCs w:val="24"/>
        </w:rPr>
        <w:t>кассовых выплат</w:t>
      </w:r>
      <w:r w:rsidR="000F10C6" w:rsidRPr="00CF1B2B">
        <w:rPr>
          <w:rFonts w:ascii="Times New Roman" w:hAnsi="Times New Roman" w:cs="Times New Roman"/>
          <w:sz w:val="24"/>
          <w:szCs w:val="24"/>
        </w:rPr>
        <w:t xml:space="preserve"> по расходам</w:t>
      </w:r>
      <w:r w:rsidRPr="00CF1B2B">
        <w:rPr>
          <w:rFonts w:ascii="Times New Roman" w:hAnsi="Times New Roman" w:cs="Times New Roman"/>
          <w:sz w:val="24"/>
          <w:szCs w:val="24"/>
        </w:rPr>
        <w:t>.</w:t>
      </w:r>
      <w:r w:rsidR="000F10C6" w:rsidRPr="00CF1B2B">
        <w:rPr>
          <w:rFonts w:ascii="Times New Roman" w:hAnsi="Times New Roman" w:cs="Times New Roman"/>
          <w:sz w:val="24"/>
          <w:szCs w:val="24"/>
        </w:rPr>
        <w:t xml:space="preserve"> </w:t>
      </w:r>
      <w:r w:rsidR="00AD7FB7" w:rsidRPr="00CF1B2B">
        <w:rPr>
          <w:rFonts w:ascii="Times New Roman" w:hAnsi="Times New Roman" w:cs="Times New Roman"/>
          <w:sz w:val="24"/>
          <w:szCs w:val="24"/>
        </w:rPr>
        <w:t>Целевым ориентиром является значение показателя, равное 0.</w:t>
      </w:r>
    </w:p>
    <w:p w:rsidR="006B7910" w:rsidRPr="00CF1B2B" w:rsidRDefault="006B7910" w:rsidP="006B791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Показатель по Управлению экономической политики не оценивался, так как оно не формирует отдельный кассовый план исполнения бюджета ГРБС (бюджетные ассигнования по расходам МАУ «Многофункциональный центр предоставления государственных и муниципальных услуг» входят в состав кассового </w:t>
      </w:r>
      <w:proofErr w:type="gramStart"/>
      <w:r w:rsidRPr="00CF1B2B">
        <w:rPr>
          <w:rFonts w:ascii="Times New Roman" w:hAnsi="Times New Roman" w:cs="Times New Roman"/>
          <w:sz w:val="24"/>
          <w:szCs w:val="24"/>
        </w:rPr>
        <w:t>плана исполнения бюджета Администрации города</w:t>
      </w:r>
      <w:proofErr w:type="gramEnd"/>
      <w:r w:rsidRPr="00CF1B2B">
        <w:rPr>
          <w:rFonts w:ascii="Times New Roman" w:hAnsi="Times New Roman" w:cs="Times New Roman"/>
          <w:sz w:val="24"/>
          <w:szCs w:val="24"/>
        </w:rPr>
        <w:t xml:space="preserve"> Югорска).</w:t>
      </w:r>
    </w:p>
    <w:p w:rsidR="00942043" w:rsidRPr="00CF1B2B" w:rsidRDefault="00942043" w:rsidP="0094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2440F4" w:rsidRPr="00CF1B2B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CF1B2B">
        <w:rPr>
          <w:rFonts w:ascii="Times New Roman" w:hAnsi="Times New Roman" w:cs="Times New Roman"/>
          <w:sz w:val="24"/>
          <w:szCs w:val="24"/>
        </w:rPr>
        <w:t xml:space="preserve">показателя по всем </w:t>
      </w:r>
      <w:r w:rsidR="006B7910" w:rsidRPr="00CF1B2B">
        <w:rPr>
          <w:rFonts w:ascii="Times New Roman" w:hAnsi="Times New Roman" w:cs="Times New Roman"/>
          <w:sz w:val="24"/>
          <w:szCs w:val="24"/>
        </w:rPr>
        <w:t xml:space="preserve">оцениваемым </w:t>
      </w:r>
      <w:r w:rsidRPr="00CF1B2B">
        <w:rPr>
          <w:rFonts w:ascii="Times New Roman" w:hAnsi="Times New Roman" w:cs="Times New Roman"/>
          <w:sz w:val="24"/>
          <w:szCs w:val="24"/>
        </w:rPr>
        <w:t xml:space="preserve">ГАБС составило 0 </w:t>
      </w:r>
      <w:r w:rsidR="002440F4" w:rsidRPr="00CF1B2B">
        <w:rPr>
          <w:rFonts w:ascii="Times New Roman" w:hAnsi="Times New Roman" w:cs="Times New Roman"/>
          <w:sz w:val="24"/>
          <w:szCs w:val="24"/>
        </w:rPr>
        <w:t>баллов</w:t>
      </w:r>
      <w:r w:rsidRPr="00CF1B2B">
        <w:rPr>
          <w:rFonts w:ascii="Times New Roman" w:hAnsi="Times New Roman" w:cs="Times New Roman"/>
          <w:sz w:val="24"/>
          <w:szCs w:val="24"/>
        </w:rPr>
        <w:t xml:space="preserve"> (</w:t>
      </w:r>
      <w:r w:rsidR="00424D42" w:rsidRPr="00CF1B2B">
        <w:rPr>
          <w:rFonts w:ascii="Times New Roman" w:hAnsi="Times New Roman" w:cs="Times New Roman"/>
          <w:sz w:val="24"/>
          <w:szCs w:val="24"/>
        </w:rPr>
        <w:t>минимальное</w:t>
      </w:r>
      <w:r w:rsidRPr="00CF1B2B">
        <w:rPr>
          <w:rFonts w:ascii="Times New Roman" w:hAnsi="Times New Roman" w:cs="Times New Roman"/>
          <w:sz w:val="24"/>
          <w:szCs w:val="24"/>
        </w:rPr>
        <w:t xml:space="preserve"> значение).</w:t>
      </w:r>
      <w:r w:rsidR="00424D42" w:rsidRPr="00CF1B2B">
        <w:t xml:space="preserve"> </w:t>
      </w:r>
      <w:r w:rsidR="00424D42" w:rsidRPr="00CF1B2B">
        <w:rPr>
          <w:rFonts w:ascii="Times New Roman" w:hAnsi="Times New Roman" w:cs="Times New Roman"/>
          <w:sz w:val="24"/>
          <w:szCs w:val="24"/>
        </w:rPr>
        <w:t>У всех ГРБС имеются случаи отклонения кассовых выплат от показателей, указанных в прогнозах отдельных кассовых выплат по расходам, на величину более чем 15%.</w:t>
      </w:r>
    </w:p>
    <w:p w:rsidR="00942043" w:rsidRPr="00CF1B2B" w:rsidRDefault="00942043" w:rsidP="009420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F1B2B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424D42" w:rsidRPr="00CF1B2B">
        <w:rPr>
          <w:rFonts w:ascii="Times New Roman" w:hAnsi="Times New Roman" w:cs="Times New Roman"/>
          <w:sz w:val="24"/>
          <w:szCs w:val="24"/>
        </w:rPr>
        <w:t>0</w:t>
      </w:r>
      <w:r w:rsidRPr="00CF1B2B">
        <w:rPr>
          <w:rFonts w:ascii="Times New Roman" w:hAnsi="Times New Roman" w:cs="Times New Roman"/>
          <w:sz w:val="24"/>
          <w:szCs w:val="24"/>
        </w:rPr>
        <w:t xml:space="preserve"> балл</w:t>
      </w:r>
      <w:r w:rsidR="00424D42" w:rsidRPr="00CF1B2B">
        <w:rPr>
          <w:rFonts w:ascii="Times New Roman" w:hAnsi="Times New Roman" w:cs="Times New Roman"/>
          <w:sz w:val="24"/>
          <w:szCs w:val="24"/>
        </w:rPr>
        <w:t>ов</w:t>
      </w:r>
      <w:r w:rsidRPr="00CF1B2B">
        <w:rPr>
          <w:rFonts w:ascii="Times New Roman" w:hAnsi="Times New Roman" w:cs="Times New Roman"/>
          <w:sz w:val="24"/>
          <w:szCs w:val="24"/>
        </w:rPr>
        <w:t xml:space="preserve"> </w:t>
      </w:r>
      <w:r w:rsidR="00EE3DF2" w:rsidRPr="00CF1B2B">
        <w:rPr>
          <w:rFonts w:ascii="Times New Roman" w:hAnsi="Times New Roman" w:cs="Times New Roman"/>
          <w:sz w:val="24"/>
          <w:szCs w:val="24"/>
        </w:rPr>
        <w:t>(в 2015</w:t>
      </w:r>
      <w:r w:rsidRPr="00CF1B2B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</w:t>
      </w:r>
      <w:r w:rsidR="00424D42" w:rsidRPr="00CF1B2B">
        <w:rPr>
          <w:rFonts w:ascii="Times New Roman" w:hAnsi="Times New Roman" w:cs="Times New Roman"/>
          <w:sz w:val="24"/>
          <w:szCs w:val="24"/>
        </w:rPr>
        <w:t xml:space="preserve"> также</w:t>
      </w:r>
      <w:r w:rsidRPr="00CF1B2B">
        <w:rPr>
          <w:rFonts w:ascii="Times New Roman" w:hAnsi="Times New Roman" w:cs="Times New Roman"/>
          <w:sz w:val="24"/>
          <w:szCs w:val="24"/>
        </w:rPr>
        <w:t xml:space="preserve"> </w:t>
      </w:r>
      <w:r w:rsidR="00424D42" w:rsidRPr="00CF1B2B">
        <w:rPr>
          <w:rFonts w:ascii="Times New Roman" w:hAnsi="Times New Roman" w:cs="Times New Roman"/>
          <w:sz w:val="24"/>
          <w:szCs w:val="24"/>
        </w:rPr>
        <w:t>0 б</w:t>
      </w:r>
      <w:r w:rsidRPr="00CF1B2B">
        <w:rPr>
          <w:rFonts w:ascii="Times New Roman" w:hAnsi="Times New Roman" w:cs="Times New Roman"/>
          <w:sz w:val="24"/>
          <w:szCs w:val="24"/>
        </w:rPr>
        <w:t>алл</w:t>
      </w:r>
      <w:r w:rsidR="00424D42" w:rsidRPr="00CF1B2B">
        <w:rPr>
          <w:rFonts w:ascii="Times New Roman" w:hAnsi="Times New Roman" w:cs="Times New Roman"/>
          <w:sz w:val="24"/>
          <w:szCs w:val="24"/>
        </w:rPr>
        <w:t>ов</w:t>
      </w:r>
      <w:r w:rsidRPr="00CF1B2B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6) Показатель 2.6</w:t>
      </w:r>
      <w:r w:rsidR="00EE3DF2" w:rsidRPr="00E83314">
        <w:rPr>
          <w:rFonts w:ascii="Times New Roman" w:hAnsi="Times New Roman" w:cs="Times New Roman"/>
          <w:sz w:val="24"/>
          <w:szCs w:val="24"/>
        </w:rPr>
        <w:t>.</w:t>
      </w:r>
      <w:r w:rsidRPr="00E83314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в управление экономической политики администрации города Югорска информации, необходимой для составления итогов социально-экономического развития города Югорска в течение отчетного года».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 xml:space="preserve">Оценка показателя производилась на основании данных, представленных </w:t>
      </w:r>
      <w:r w:rsidR="002440F4" w:rsidRPr="00E83314">
        <w:rPr>
          <w:rFonts w:ascii="Times New Roman" w:hAnsi="Times New Roman" w:cs="Times New Roman"/>
          <w:sz w:val="24"/>
          <w:szCs w:val="24"/>
        </w:rPr>
        <w:t>У</w:t>
      </w:r>
      <w:r w:rsidRPr="00E83314">
        <w:rPr>
          <w:rFonts w:ascii="Times New Roman" w:hAnsi="Times New Roman" w:cs="Times New Roman"/>
          <w:sz w:val="24"/>
          <w:szCs w:val="24"/>
        </w:rPr>
        <w:t>правление</w:t>
      </w:r>
      <w:r w:rsidR="00B176AB" w:rsidRPr="00E83314">
        <w:rPr>
          <w:rFonts w:ascii="Times New Roman" w:hAnsi="Times New Roman" w:cs="Times New Roman"/>
          <w:sz w:val="24"/>
          <w:szCs w:val="24"/>
        </w:rPr>
        <w:t>м</w:t>
      </w:r>
      <w:r w:rsidRPr="00E83314">
        <w:rPr>
          <w:rFonts w:ascii="Times New Roman" w:hAnsi="Times New Roman" w:cs="Times New Roman"/>
          <w:sz w:val="24"/>
          <w:szCs w:val="24"/>
        </w:rPr>
        <w:t xml:space="preserve"> экономической политики.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Показатель по Думе города Югорска, Управлению экономической политики (</w:t>
      </w:r>
      <w:r w:rsidR="00B176AB" w:rsidRPr="00E83314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E83314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 не оценивался. Представление информации данными ГАБС не требуется.</w:t>
      </w:r>
    </w:p>
    <w:p w:rsidR="00D8189C" w:rsidRPr="00E83314" w:rsidRDefault="00D8189C" w:rsidP="00F30DD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ab/>
        <w:t xml:space="preserve">Показатель по иным  ГАБС оценен на 100,0 </w:t>
      </w:r>
      <w:r w:rsidR="002440F4" w:rsidRPr="00E83314">
        <w:rPr>
          <w:rFonts w:ascii="Times New Roman" w:hAnsi="Times New Roman" w:cs="Times New Roman"/>
          <w:sz w:val="24"/>
          <w:szCs w:val="24"/>
        </w:rPr>
        <w:t>баллов. Сроки предоставления в У</w:t>
      </w:r>
      <w:r w:rsidRPr="00E83314">
        <w:rPr>
          <w:rFonts w:ascii="Times New Roman" w:hAnsi="Times New Roman" w:cs="Times New Roman"/>
          <w:sz w:val="24"/>
          <w:szCs w:val="24"/>
        </w:rPr>
        <w:t xml:space="preserve">правление экономической политики информации, необходимой для составления итогов социально-экономического развития города Югорска в течение отчетного года, всеми </w:t>
      </w:r>
      <w:r w:rsidR="00946886" w:rsidRPr="00E83314">
        <w:rPr>
          <w:rFonts w:ascii="Times New Roman" w:hAnsi="Times New Roman" w:cs="Times New Roman"/>
          <w:sz w:val="24"/>
          <w:szCs w:val="24"/>
        </w:rPr>
        <w:t xml:space="preserve">оцениваемыми </w:t>
      </w:r>
      <w:r w:rsidRPr="00E83314">
        <w:rPr>
          <w:rFonts w:ascii="Times New Roman" w:hAnsi="Times New Roman" w:cs="Times New Roman"/>
          <w:sz w:val="24"/>
          <w:szCs w:val="24"/>
        </w:rPr>
        <w:t xml:space="preserve">ГАБС соблюдены.  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7) Показатель 2.7</w:t>
      </w:r>
      <w:r w:rsidR="00574899" w:rsidRPr="00E83314">
        <w:rPr>
          <w:rFonts w:ascii="Times New Roman" w:hAnsi="Times New Roman" w:cs="Times New Roman"/>
          <w:sz w:val="24"/>
          <w:szCs w:val="24"/>
        </w:rPr>
        <w:t>.</w:t>
      </w:r>
      <w:r w:rsidRPr="00E83314">
        <w:rPr>
          <w:rFonts w:ascii="Times New Roman" w:hAnsi="Times New Roman" w:cs="Times New Roman"/>
          <w:sz w:val="24"/>
          <w:szCs w:val="24"/>
        </w:rPr>
        <w:t xml:space="preserve"> «Достоверность и полнота представленной в управление экономической политики администрации города Югорска информации, необходимой для составления итогов социально-экономического развития города Югорска в течение отчетного года».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Оценка показателя производилась на ос</w:t>
      </w:r>
      <w:r w:rsidR="002440F4" w:rsidRPr="00E83314">
        <w:rPr>
          <w:rFonts w:ascii="Times New Roman" w:hAnsi="Times New Roman" w:cs="Times New Roman"/>
          <w:sz w:val="24"/>
          <w:szCs w:val="24"/>
        </w:rPr>
        <w:t>новании данных, представленных У</w:t>
      </w:r>
      <w:r w:rsidRPr="00E83314">
        <w:rPr>
          <w:rFonts w:ascii="Times New Roman" w:hAnsi="Times New Roman" w:cs="Times New Roman"/>
          <w:sz w:val="24"/>
          <w:szCs w:val="24"/>
        </w:rPr>
        <w:t>правление</w:t>
      </w:r>
      <w:r w:rsidR="00946886" w:rsidRPr="00E83314">
        <w:rPr>
          <w:rFonts w:ascii="Times New Roman" w:hAnsi="Times New Roman" w:cs="Times New Roman"/>
          <w:sz w:val="24"/>
          <w:szCs w:val="24"/>
        </w:rPr>
        <w:t>м</w:t>
      </w:r>
      <w:r w:rsidRPr="00E83314">
        <w:rPr>
          <w:rFonts w:ascii="Times New Roman" w:hAnsi="Times New Roman" w:cs="Times New Roman"/>
          <w:sz w:val="24"/>
          <w:szCs w:val="24"/>
        </w:rPr>
        <w:t xml:space="preserve"> экономической политики.</w:t>
      </w:r>
    </w:p>
    <w:p w:rsidR="00946886" w:rsidRPr="00E83314" w:rsidRDefault="00946886" w:rsidP="0094688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 xml:space="preserve">Показатель по Думе города Югорска, Управлению экономической политики (в отношении МАУ «Многофункциональный центр предоставления государственных и муниципальных услуг»), </w:t>
      </w:r>
      <w:r w:rsidRPr="00E83314">
        <w:rPr>
          <w:rFonts w:ascii="Times New Roman" w:hAnsi="Times New Roman" w:cs="Times New Roman"/>
          <w:sz w:val="24"/>
          <w:szCs w:val="24"/>
        </w:rPr>
        <w:lastRenderedPageBreak/>
        <w:t>МКУ «Централизованная бухгалтерия», МКУ «Служба обеспечения органов местного самоуправления» не оценивался. Представление информации данными ГАБС не требуется.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 xml:space="preserve">Показатель по иным ГАБС оценен на 100,0 баллов. Информация, необходимая для составления итогов социально-экономического развития города Югорска, представлена в управление экономической политики всеми </w:t>
      </w:r>
      <w:r w:rsidR="00946886" w:rsidRPr="00E83314">
        <w:rPr>
          <w:rFonts w:ascii="Times New Roman" w:hAnsi="Times New Roman" w:cs="Times New Roman"/>
          <w:sz w:val="24"/>
          <w:szCs w:val="24"/>
        </w:rPr>
        <w:t xml:space="preserve">оцениваемыми </w:t>
      </w:r>
      <w:r w:rsidRPr="00E83314">
        <w:rPr>
          <w:rFonts w:ascii="Times New Roman" w:hAnsi="Times New Roman" w:cs="Times New Roman"/>
          <w:sz w:val="24"/>
          <w:szCs w:val="24"/>
        </w:rPr>
        <w:t xml:space="preserve">ГАБС </w:t>
      </w:r>
      <w:r w:rsidR="002440F4" w:rsidRPr="00E83314">
        <w:rPr>
          <w:rFonts w:ascii="Times New Roman" w:hAnsi="Times New Roman" w:cs="Times New Roman"/>
          <w:sz w:val="24"/>
          <w:szCs w:val="24"/>
        </w:rPr>
        <w:t xml:space="preserve">качественная и </w:t>
      </w:r>
      <w:r w:rsidRPr="00E83314">
        <w:rPr>
          <w:rFonts w:ascii="Times New Roman" w:hAnsi="Times New Roman" w:cs="Times New Roman"/>
          <w:sz w:val="24"/>
          <w:szCs w:val="24"/>
        </w:rPr>
        <w:t>в полном объеме.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8) Показатель 2.8</w:t>
      </w:r>
      <w:r w:rsidR="00F84931" w:rsidRPr="00E83314">
        <w:rPr>
          <w:rFonts w:ascii="Times New Roman" w:hAnsi="Times New Roman" w:cs="Times New Roman"/>
          <w:sz w:val="24"/>
          <w:szCs w:val="24"/>
        </w:rPr>
        <w:t>.</w:t>
      </w:r>
      <w:r w:rsidRPr="00E83314">
        <w:rPr>
          <w:rFonts w:ascii="Times New Roman" w:hAnsi="Times New Roman" w:cs="Times New Roman"/>
          <w:sz w:val="24"/>
          <w:szCs w:val="24"/>
        </w:rPr>
        <w:t xml:space="preserve"> «Доля выполненных целевых показателей муниципальных программ города Югорска, характеризующих результаты их реализации, от общего количества утвержденных целевых показателей муниципальных программ города Югорска».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Показатель характеризует качество планирования и уровень исполнения целевых показателей, характеризующих результаты их реализации, от общего количества утвержденных целевых показателей муниципальных программ города Югорска.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Оценка показателя производилась на основан</w:t>
      </w:r>
      <w:r w:rsidR="002440F4" w:rsidRPr="00E83314">
        <w:rPr>
          <w:rFonts w:ascii="Times New Roman" w:hAnsi="Times New Roman" w:cs="Times New Roman"/>
          <w:sz w:val="24"/>
          <w:szCs w:val="24"/>
        </w:rPr>
        <w:t>ии данных, представленных У</w:t>
      </w:r>
      <w:r w:rsidRPr="00E83314">
        <w:rPr>
          <w:rFonts w:ascii="Times New Roman" w:hAnsi="Times New Roman" w:cs="Times New Roman"/>
          <w:sz w:val="24"/>
          <w:szCs w:val="24"/>
        </w:rPr>
        <w:t>правление</w:t>
      </w:r>
      <w:r w:rsidR="00946886" w:rsidRPr="00E83314">
        <w:rPr>
          <w:rFonts w:ascii="Times New Roman" w:hAnsi="Times New Roman" w:cs="Times New Roman"/>
          <w:sz w:val="24"/>
          <w:szCs w:val="24"/>
        </w:rPr>
        <w:t>м</w:t>
      </w:r>
      <w:r w:rsidRPr="00E83314">
        <w:rPr>
          <w:rFonts w:ascii="Times New Roman" w:hAnsi="Times New Roman" w:cs="Times New Roman"/>
          <w:sz w:val="24"/>
          <w:szCs w:val="24"/>
        </w:rPr>
        <w:t xml:space="preserve"> экономической политики.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Показатель по Думе города Югорска, МКУ «Централизованная бухгалтерия», МКУ «Служба обеспечения органов местного самоуправления» не оценивался</w:t>
      </w:r>
      <w:r w:rsidR="00946886" w:rsidRPr="00E83314">
        <w:rPr>
          <w:rFonts w:ascii="Times New Roman" w:hAnsi="Times New Roman" w:cs="Times New Roman"/>
          <w:sz w:val="24"/>
          <w:szCs w:val="24"/>
        </w:rPr>
        <w:t>, так как они не являются ответственными исполнителями муниципальных программ города Югорска</w:t>
      </w:r>
      <w:r w:rsidRPr="00E83314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Максимальное значение  показателя 100,0 баллов сло</w:t>
      </w:r>
      <w:r w:rsidR="00F26DC8" w:rsidRPr="00E83314">
        <w:rPr>
          <w:rFonts w:ascii="Times New Roman" w:hAnsi="Times New Roman" w:cs="Times New Roman"/>
          <w:sz w:val="24"/>
          <w:szCs w:val="24"/>
        </w:rPr>
        <w:t>жилось у Департамента финансов</w:t>
      </w:r>
      <w:r w:rsidRPr="00E83314">
        <w:rPr>
          <w:rFonts w:ascii="Times New Roman" w:hAnsi="Times New Roman" w:cs="Times New Roman"/>
          <w:sz w:val="24"/>
          <w:szCs w:val="24"/>
        </w:rPr>
        <w:t xml:space="preserve"> и Управления </w:t>
      </w:r>
      <w:r w:rsidR="00F26DC8" w:rsidRPr="00E83314">
        <w:rPr>
          <w:rFonts w:ascii="Times New Roman" w:hAnsi="Times New Roman" w:cs="Times New Roman"/>
          <w:sz w:val="24"/>
          <w:szCs w:val="24"/>
        </w:rPr>
        <w:t>экономической политики</w:t>
      </w:r>
      <w:r w:rsidRPr="00E83314">
        <w:rPr>
          <w:rFonts w:ascii="Times New Roman" w:hAnsi="Times New Roman" w:cs="Times New Roman"/>
          <w:sz w:val="24"/>
          <w:szCs w:val="24"/>
        </w:rPr>
        <w:t xml:space="preserve">. Целевые показатели муниципальных программ города Югорска, в достижении которых участвует </w:t>
      </w:r>
      <w:r w:rsidR="00394EC2" w:rsidRPr="00E83314">
        <w:rPr>
          <w:rFonts w:ascii="Times New Roman" w:hAnsi="Times New Roman" w:cs="Times New Roman"/>
          <w:sz w:val="24"/>
          <w:szCs w:val="24"/>
        </w:rPr>
        <w:t xml:space="preserve">данные </w:t>
      </w:r>
      <w:r w:rsidRPr="00E83314">
        <w:rPr>
          <w:rFonts w:ascii="Times New Roman" w:hAnsi="Times New Roman" w:cs="Times New Roman"/>
          <w:sz w:val="24"/>
          <w:szCs w:val="24"/>
        </w:rPr>
        <w:t>ГРБС</w:t>
      </w:r>
      <w:r w:rsidR="00394EC2" w:rsidRPr="00E83314">
        <w:rPr>
          <w:rFonts w:ascii="Times New Roman" w:hAnsi="Times New Roman" w:cs="Times New Roman"/>
          <w:sz w:val="24"/>
          <w:szCs w:val="24"/>
        </w:rPr>
        <w:t>,</w:t>
      </w:r>
      <w:r w:rsidRPr="00E83314">
        <w:rPr>
          <w:rFonts w:ascii="Times New Roman" w:hAnsi="Times New Roman" w:cs="Times New Roman"/>
          <w:sz w:val="24"/>
          <w:szCs w:val="24"/>
        </w:rPr>
        <w:t xml:space="preserve"> выполнены в полном объеме.</w:t>
      </w:r>
      <w:r w:rsidR="00F34F69" w:rsidRPr="00E833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4F69" w:rsidRPr="00E83314" w:rsidRDefault="00F34F69" w:rsidP="00F34F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 9</w:t>
      </w:r>
      <w:r w:rsidR="00DC10D5" w:rsidRPr="00E83314">
        <w:rPr>
          <w:rFonts w:ascii="Times New Roman" w:hAnsi="Times New Roman" w:cs="Times New Roman"/>
          <w:sz w:val="24"/>
          <w:szCs w:val="24"/>
        </w:rPr>
        <w:t>4</w:t>
      </w:r>
      <w:r w:rsidRPr="00E83314">
        <w:rPr>
          <w:rFonts w:ascii="Times New Roman" w:hAnsi="Times New Roman" w:cs="Times New Roman"/>
          <w:sz w:val="24"/>
          <w:szCs w:val="24"/>
        </w:rPr>
        <w:t>,</w:t>
      </w:r>
      <w:r w:rsidR="00DC10D5" w:rsidRPr="00E83314">
        <w:rPr>
          <w:rFonts w:ascii="Times New Roman" w:hAnsi="Times New Roman" w:cs="Times New Roman"/>
          <w:sz w:val="24"/>
          <w:szCs w:val="24"/>
        </w:rPr>
        <w:t>7</w:t>
      </w:r>
      <w:r w:rsidRPr="00E83314">
        <w:rPr>
          <w:rFonts w:ascii="Times New Roman" w:hAnsi="Times New Roman" w:cs="Times New Roman"/>
          <w:sz w:val="24"/>
          <w:szCs w:val="24"/>
        </w:rPr>
        <w:t xml:space="preserve"> балл</w:t>
      </w:r>
      <w:r w:rsidR="002440F4" w:rsidRPr="00E83314">
        <w:rPr>
          <w:rFonts w:ascii="Times New Roman" w:hAnsi="Times New Roman" w:cs="Times New Roman"/>
          <w:sz w:val="24"/>
          <w:szCs w:val="24"/>
        </w:rPr>
        <w:t>а</w:t>
      </w:r>
      <w:r w:rsidRPr="00E83314">
        <w:rPr>
          <w:rFonts w:ascii="Times New Roman" w:hAnsi="Times New Roman" w:cs="Times New Roman"/>
          <w:sz w:val="24"/>
          <w:szCs w:val="24"/>
        </w:rPr>
        <w:t>, что выше уровня за 201</w:t>
      </w:r>
      <w:r w:rsidR="00774541" w:rsidRPr="00E83314">
        <w:rPr>
          <w:rFonts w:ascii="Times New Roman" w:hAnsi="Times New Roman" w:cs="Times New Roman"/>
          <w:sz w:val="24"/>
          <w:szCs w:val="24"/>
        </w:rPr>
        <w:t>5</w:t>
      </w:r>
      <w:r w:rsidRPr="00E83314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DC10D5" w:rsidRPr="00E83314">
        <w:rPr>
          <w:rFonts w:ascii="Times New Roman" w:hAnsi="Times New Roman" w:cs="Times New Roman"/>
          <w:sz w:val="24"/>
          <w:szCs w:val="24"/>
        </w:rPr>
        <w:t>4</w:t>
      </w:r>
      <w:r w:rsidRPr="00E83314">
        <w:rPr>
          <w:rFonts w:ascii="Times New Roman" w:hAnsi="Times New Roman" w:cs="Times New Roman"/>
          <w:sz w:val="24"/>
          <w:szCs w:val="24"/>
        </w:rPr>
        <w:t>,</w:t>
      </w:r>
      <w:r w:rsidR="00DC10D5" w:rsidRPr="00E83314">
        <w:rPr>
          <w:rFonts w:ascii="Times New Roman" w:hAnsi="Times New Roman" w:cs="Times New Roman"/>
          <w:sz w:val="24"/>
          <w:szCs w:val="24"/>
        </w:rPr>
        <w:t>4</w:t>
      </w:r>
      <w:r w:rsidRPr="00E83314">
        <w:rPr>
          <w:rFonts w:ascii="Times New Roman" w:hAnsi="Times New Roman" w:cs="Times New Roman"/>
          <w:sz w:val="24"/>
          <w:szCs w:val="24"/>
        </w:rPr>
        <w:t xml:space="preserve"> балла (в 201</w:t>
      </w:r>
      <w:r w:rsidR="00774541" w:rsidRPr="00E83314">
        <w:rPr>
          <w:rFonts w:ascii="Times New Roman" w:hAnsi="Times New Roman" w:cs="Times New Roman"/>
          <w:sz w:val="24"/>
          <w:szCs w:val="24"/>
        </w:rPr>
        <w:t>5</w:t>
      </w:r>
      <w:r w:rsidRPr="00E83314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774541" w:rsidRPr="00E83314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</w:t>
      </w:r>
      <w:r w:rsidRPr="00E83314">
        <w:rPr>
          <w:rFonts w:ascii="Times New Roman" w:hAnsi="Times New Roman" w:cs="Times New Roman"/>
          <w:sz w:val="24"/>
          <w:szCs w:val="24"/>
        </w:rPr>
        <w:t>9</w:t>
      </w:r>
      <w:r w:rsidR="00774541" w:rsidRPr="00E83314">
        <w:rPr>
          <w:rFonts w:ascii="Times New Roman" w:hAnsi="Times New Roman" w:cs="Times New Roman"/>
          <w:sz w:val="24"/>
          <w:szCs w:val="24"/>
        </w:rPr>
        <w:t>0</w:t>
      </w:r>
      <w:r w:rsidRPr="00E83314">
        <w:rPr>
          <w:rFonts w:ascii="Times New Roman" w:hAnsi="Times New Roman" w:cs="Times New Roman"/>
          <w:sz w:val="24"/>
          <w:szCs w:val="24"/>
        </w:rPr>
        <w:t>,</w:t>
      </w:r>
      <w:r w:rsidR="00774541" w:rsidRPr="00E83314">
        <w:rPr>
          <w:rFonts w:ascii="Times New Roman" w:hAnsi="Times New Roman" w:cs="Times New Roman"/>
          <w:sz w:val="24"/>
          <w:szCs w:val="24"/>
        </w:rPr>
        <w:t>3</w:t>
      </w:r>
      <w:r w:rsidRPr="00E83314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D8189C" w:rsidRPr="00E83314" w:rsidRDefault="002440F4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О</w:t>
      </w:r>
      <w:r w:rsidR="00394EC2" w:rsidRPr="00E83314">
        <w:rPr>
          <w:rFonts w:ascii="Times New Roman" w:hAnsi="Times New Roman" w:cs="Times New Roman"/>
          <w:sz w:val="24"/>
          <w:szCs w:val="24"/>
        </w:rPr>
        <w:t>ценк</w:t>
      </w:r>
      <w:r w:rsidRPr="00E83314">
        <w:rPr>
          <w:rFonts w:ascii="Times New Roman" w:hAnsi="Times New Roman" w:cs="Times New Roman"/>
          <w:sz w:val="24"/>
          <w:szCs w:val="24"/>
        </w:rPr>
        <w:t>а</w:t>
      </w:r>
      <w:r w:rsidR="00394EC2" w:rsidRPr="00E83314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показателя по </w:t>
      </w:r>
      <w:r w:rsidR="00DC10D5" w:rsidRPr="00E83314">
        <w:rPr>
          <w:rFonts w:ascii="Times New Roman" w:hAnsi="Times New Roman" w:cs="Times New Roman"/>
          <w:sz w:val="24"/>
          <w:szCs w:val="24"/>
        </w:rPr>
        <w:t>4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 ГАБС составил</w:t>
      </w:r>
      <w:r w:rsidRPr="00E83314">
        <w:rPr>
          <w:rFonts w:ascii="Times New Roman" w:hAnsi="Times New Roman" w:cs="Times New Roman"/>
          <w:sz w:val="24"/>
          <w:szCs w:val="24"/>
        </w:rPr>
        <w:t>а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 менее 100,0 баллов</w:t>
      </w:r>
      <w:r w:rsidR="00F34F69" w:rsidRPr="00E83314">
        <w:rPr>
          <w:rFonts w:ascii="Times New Roman" w:hAnsi="Times New Roman" w:cs="Times New Roman"/>
          <w:sz w:val="24"/>
          <w:szCs w:val="24"/>
        </w:rPr>
        <w:t>, но выше среднего значения</w:t>
      </w:r>
      <w:r w:rsidR="00D8189C" w:rsidRPr="00E83314">
        <w:rPr>
          <w:rFonts w:ascii="Times New Roman" w:hAnsi="Times New Roman" w:cs="Times New Roman"/>
          <w:sz w:val="24"/>
          <w:szCs w:val="24"/>
        </w:rPr>
        <w:t>:</w:t>
      </w:r>
    </w:p>
    <w:p w:rsidR="00F34F69" w:rsidRPr="00E83314" w:rsidRDefault="00F34F69" w:rsidP="00F3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Управление культуры - 9</w:t>
      </w:r>
      <w:r w:rsidR="00DC10D5" w:rsidRPr="00E83314">
        <w:rPr>
          <w:rFonts w:ascii="Times New Roman" w:hAnsi="Times New Roman" w:cs="Times New Roman"/>
          <w:sz w:val="24"/>
          <w:szCs w:val="24"/>
        </w:rPr>
        <w:t>8</w:t>
      </w:r>
      <w:r w:rsidRPr="00E83314">
        <w:rPr>
          <w:rFonts w:ascii="Times New Roman" w:hAnsi="Times New Roman" w:cs="Times New Roman"/>
          <w:sz w:val="24"/>
          <w:szCs w:val="24"/>
        </w:rPr>
        <w:t>,</w:t>
      </w:r>
      <w:r w:rsidR="00DC10D5" w:rsidRPr="00E83314">
        <w:rPr>
          <w:rFonts w:ascii="Times New Roman" w:hAnsi="Times New Roman" w:cs="Times New Roman"/>
          <w:sz w:val="24"/>
          <w:szCs w:val="24"/>
        </w:rPr>
        <w:t>2</w:t>
      </w:r>
      <w:r w:rsidRPr="00E83314">
        <w:rPr>
          <w:rFonts w:ascii="Times New Roman" w:hAnsi="Times New Roman" w:cs="Times New Roman"/>
          <w:sz w:val="24"/>
          <w:szCs w:val="24"/>
        </w:rPr>
        <w:t xml:space="preserve"> балла. Из 1</w:t>
      </w:r>
      <w:r w:rsidR="00663586" w:rsidRPr="00E83314">
        <w:rPr>
          <w:rFonts w:ascii="Times New Roman" w:hAnsi="Times New Roman" w:cs="Times New Roman"/>
          <w:sz w:val="24"/>
          <w:szCs w:val="24"/>
        </w:rPr>
        <w:t>5</w:t>
      </w:r>
      <w:r w:rsidRPr="00E83314">
        <w:rPr>
          <w:rFonts w:ascii="Times New Roman" w:hAnsi="Times New Roman" w:cs="Times New Roman"/>
          <w:sz w:val="24"/>
          <w:szCs w:val="24"/>
        </w:rPr>
        <w:t xml:space="preserve"> целевых показателей муниципальных программ города Югорска, в дости</w:t>
      </w:r>
      <w:r w:rsidR="00663586" w:rsidRPr="00E83314">
        <w:rPr>
          <w:rFonts w:ascii="Times New Roman" w:hAnsi="Times New Roman" w:cs="Times New Roman"/>
          <w:sz w:val="24"/>
          <w:szCs w:val="24"/>
        </w:rPr>
        <w:t>жении которых участвует ГРБС, 14</w:t>
      </w:r>
      <w:r w:rsidRPr="00E83314">
        <w:rPr>
          <w:rFonts w:ascii="Times New Roman" w:hAnsi="Times New Roman" w:cs="Times New Roman"/>
          <w:sz w:val="24"/>
          <w:szCs w:val="24"/>
        </w:rPr>
        <w:t xml:space="preserve"> выполнено, что составляет 9</w:t>
      </w:r>
      <w:r w:rsidR="00663586" w:rsidRPr="00E83314">
        <w:rPr>
          <w:rFonts w:ascii="Times New Roman" w:hAnsi="Times New Roman" w:cs="Times New Roman"/>
          <w:sz w:val="24"/>
          <w:szCs w:val="24"/>
        </w:rPr>
        <w:t>3</w:t>
      </w:r>
      <w:r w:rsidRPr="00E83314">
        <w:rPr>
          <w:rFonts w:ascii="Times New Roman" w:hAnsi="Times New Roman" w:cs="Times New Roman"/>
          <w:sz w:val="24"/>
          <w:szCs w:val="24"/>
        </w:rPr>
        <w:t>,</w:t>
      </w:r>
      <w:r w:rsidR="00663586" w:rsidRPr="00E83314">
        <w:rPr>
          <w:rFonts w:ascii="Times New Roman" w:hAnsi="Times New Roman" w:cs="Times New Roman"/>
          <w:sz w:val="24"/>
          <w:szCs w:val="24"/>
        </w:rPr>
        <w:t>3</w:t>
      </w:r>
      <w:r w:rsidRPr="00E83314">
        <w:rPr>
          <w:rFonts w:ascii="Times New Roman" w:hAnsi="Times New Roman" w:cs="Times New Roman"/>
          <w:sz w:val="24"/>
          <w:szCs w:val="24"/>
        </w:rPr>
        <w:t>%;</w:t>
      </w:r>
    </w:p>
    <w:p w:rsidR="00750931" w:rsidRPr="00E83314" w:rsidRDefault="00750931" w:rsidP="0075093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 xml:space="preserve">Администрация города Югорска - 98,2 балла. Из </w:t>
      </w:r>
      <w:r w:rsidR="000670A9" w:rsidRPr="00E83314">
        <w:rPr>
          <w:rFonts w:ascii="Times New Roman" w:hAnsi="Times New Roman" w:cs="Times New Roman"/>
          <w:sz w:val="24"/>
          <w:szCs w:val="24"/>
        </w:rPr>
        <w:t>4</w:t>
      </w:r>
      <w:r w:rsidRPr="00E83314">
        <w:rPr>
          <w:rFonts w:ascii="Times New Roman" w:hAnsi="Times New Roman" w:cs="Times New Roman"/>
          <w:sz w:val="24"/>
          <w:szCs w:val="24"/>
        </w:rPr>
        <w:t xml:space="preserve">5 целевых показателей муниципальных программ города Югорска, в достижении которых участвует ГРБС, </w:t>
      </w:r>
      <w:r w:rsidR="000670A9" w:rsidRPr="00E83314">
        <w:rPr>
          <w:rFonts w:ascii="Times New Roman" w:hAnsi="Times New Roman" w:cs="Times New Roman"/>
          <w:sz w:val="24"/>
          <w:szCs w:val="24"/>
        </w:rPr>
        <w:t>42</w:t>
      </w:r>
      <w:r w:rsidRPr="00E83314">
        <w:rPr>
          <w:rFonts w:ascii="Times New Roman" w:hAnsi="Times New Roman" w:cs="Times New Roman"/>
          <w:sz w:val="24"/>
          <w:szCs w:val="24"/>
        </w:rPr>
        <w:t xml:space="preserve"> выполнено, что составляет 93,3%;</w:t>
      </w:r>
    </w:p>
    <w:p w:rsidR="000670A9" w:rsidRPr="00E83314" w:rsidRDefault="000670A9" w:rsidP="00067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 - 92,6 балла. Из 25 целевых показателей муниципальных программ города Югорска, в достижении которых участвует ГРБС, 22 выполнено, что составляет 88,0%;</w:t>
      </w:r>
    </w:p>
    <w:p w:rsidR="000670A9" w:rsidRPr="00E83314" w:rsidRDefault="000670A9" w:rsidP="00067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 - 92,6 балла. Из 25 целевых показателей муниципальных программ города Югорска, в достижении которых участвует ГРБС, 22 выполнено, что составляет 88,0%;</w:t>
      </w:r>
    </w:p>
    <w:p w:rsidR="000670A9" w:rsidRPr="00E83314" w:rsidRDefault="000670A9" w:rsidP="000670A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Управление социальной политики - 90,2 балла. Из 42 целевых показателей муниципальных программ города Югорска, в достижении которых участвует ГРБС, 36 выполнено, что составляет 85,7%;</w:t>
      </w:r>
    </w:p>
    <w:p w:rsidR="00F34F69" w:rsidRPr="00E83314" w:rsidRDefault="00F34F69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Оценку показателя ниже среднего значения получили:</w:t>
      </w:r>
    </w:p>
    <w:p w:rsidR="00D8189C" w:rsidRPr="00E83314" w:rsidRDefault="00CA09EA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Управление образования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 – </w:t>
      </w:r>
      <w:r w:rsidR="00F34F69" w:rsidRPr="00E83314">
        <w:rPr>
          <w:rFonts w:ascii="Times New Roman" w:hAnsi="Times New Roman" w:cs="Times New Roman"/>
          <w:sz w:val="24"/>
          <w:szCs w:val="24"/>
        </w:rPr>
        <w:t>89,</w:t>
      </w:r>
      <w:r w:rsidRPr="00E83314">
        <w:rPr>
          <w:rFonts w:ascii="Times New Roman" w:hAnsi="Times New Roman" w:cs="Times New Roman"/>
          <w:sz w:val="24"/>
          <w:szCs w:val="24"/>
        </w:rPr>
        <w:t>5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 баллов. Из </w:t>
      </w:r>
      <w:r w:rsidRPr="00E83314">
        <w:rPr>
          <w:rFonts w:ascii="Times New Roman" w:hAnsi="Times New Roman" w:cs="Times New Roman"/>
          <w:sz w:val="24"/>
          <w:szCs w:val="24"/>
        </w:rPr>
        <w:t>20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 целевых показателей муниципальных программ города Югорска, в достижении кот</w:t>
      </w:r>
      <w:r w:rsidR="00946886" w:rsidRPr="00E83314">
        <w:rPr>
          <w:rFonts w:ascii="Times New Roman" w:hAnsi="Times New Roman" w:cs="Times New Roman"/>
          <w:sz w:val="24"/>
          <w:szCs w:val="24"/>
        </w:rPr>
        <w:t>орых участвует ГРБС</w:t>
      </w:r>
      <w:r w:rsidR="00F34F69" w:rsidRPr="00E83314">
        <w:rPr>
          <w:rFonts w:ascii="Times New Roman" w:hAnsi="Times New Roman" w:cs="Times New Roman"/>
          <w:sz w:val="24"/>
          <w:szCs w:val="24"/>
        </w:rPr>
        <w:t>,</w:t>
      </w:r>
      <w:r w:rsidR="00946886" w:rsidRPr="00E83314">
        <w:rPr>
          <w:rFonts w:ascii="Times New Roman" w:hAnsi="Times New Roman" w:cs="Times New Roman"/>
          <w:sz w:val="24"/>
          <w:szCs w:val="24"/>
        </w:rPr>
        <w:t xml:space="preserve"> </w:t>
      </w:r>
      <w:r w:rsidRPr="00E83314">
        <w:rPr>
          <w:rFonts w:ascii="Times New Roman" w:hAnsi="Times New Roman" w:cs="Times New Roman"/>
          <w:sz w:val="24"/>
          <w:szCs w:val="24"/>
        </w:rPr>
        <w:t>1</w:t>
      </w:r>
      <w:r w:rsidR="007A7C1A" w:rsidRPr="00E83314">
        <w:rPr>
          <w:rFonts w:ascii="Times New Roman" w:hAnsi="Times New Roman" w:cs="Times New Roman"/>
          <w:sz w:val="24"/>
          <w:szCs w:val="24"/>
        </w:rPr>
        <w:t>7</w:t>
      </w:r>
      <w:r w:rsidR="00946886" w:rsidRPr="00E83314">
        <w:rPr>
          <w:rFonts w:ascii="Times New Roman" w:hAnsi="Times New Roman" w:cs="Times New Roman"/>
          <w:sz w:val="24"/>
          <w:szCs w:val="24"/>
        </w:rPr>
        <w:t xml:space="preserve"> выполнен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о, что составляет </w:t>
      </w:r>
      <w:r w:rsidR="00F34F69" w:rsidRPr="00E83314">
        <w:rPr>
          <w:rFonts w:ascii="Times New Roman" w:hAnsi="Times New Roman" w:cs="Times New Roman"/>
          <w:sz w:val="24"/>
          <w:szCs w:val="24"/>
        </w:rPr>
        <w:t>8</w:t>
      </w:r>
      <w:r w:rsidRPr="00E83314">
        <w:rPr>
          <w:rFonts w:ascii="Times New Roman" w:hAnsi="Times New Roman" w:cs="Times New Roman"/>
          <w:sz w:val="24"/>
          <w:szCs w:val="24"/>
        </w:rPr>
        <w:t>5</w:t>
      </w:r>
      <w:r w:rsidR="00F34F69" w:rsidRPr="00E83314">
        <w:rPr>
          <w:rFonts w:ascii="Times New Roman" w:hAnsi="Times New Roman" w:cs="Times New Roman"/>
          <w:sz w:val="24"/>
          <w:szCs w:val="24"/>
        </w:rPr>
        <w:t>,</w:t>
      </w:r>
      <w:r w:rsidRPr="00E83314">
        <w:rPr>
          <w:rFonts w:ascii="Times New Roman" w:hAnsi="Times New Roman" w:cs="Times New Roman"/>
          <w:sz w:val="24"/>
          <w:szCs w:val="24"/>
        </w:rPr>
        <w:t>0</w:t>
      </w:r>
      <w:r w:rsidR="00F34F69" w:rsidRPr="00E83314">
        <w:rPr>
          <w:rFonts w:ascii="Times New Roman" w:hAnsi="Times New Roman" w:cs="Times New Roman"/>
          <w:sz w:val="24"/>
          <w:szCs w:val="24"/>
        </w:rPr>
        <w:t>%;</w:t>
      </w:r>
    </w:p>
    <w:p w:rsidR="00F34F69" w:rsidRPr="00E83314" w:rsidRDefault="00F34F69" w:rsidP="00F34F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Департамент жилищно-коммунального и строительного комплекса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 – </w:t>
      </w:r>
      <w:r w:rsidR="00CA09EA" w:rsidRPr="00E83314">
        <w:rPr>
          <w:rFonts w:ascii="Times New Roman" w:hAnsi="Times New Roman" w:cs="Times New Roman"/>
          <w:sz w:val="24"/>
          <w:szCs w:val="24"/>
        </w:rPr>
        <w:t>88</w:t>
      </w:r>
      <w:r w:rsidRPr="00E83314">
        <w:rPr>
          <w:rFonts w:ascii="Times New Roman" w:hAnsi="Times New Roman" w:cs="Times New Roman"/>
          <w:sz w:val="24"/>
          <w:szCs w:val="24"/>
        </w:rPr>
        <w:t>,</w:t>
      </w:r>
      <w:r w:rsidR="00CA09EA" w:rsidRPr="00E83314">
        <w:rPr>
          <w:rFonts w:ascii="Times New Roman" w:hAnsi="Times New Roman" w:cs="Times New Roman"/>
          <w:sz w:val="24"/>
          <w:szCs w:val="24"/>
        </w:rPr>
        <w:t>9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 баллов. </w:t>
      </w:r>
      <w:r w:rsidRPr="00E83314">
        <w:rPr>
          <w:rFonts w:ascii="Times New Roman" w:hAnsi="Times New Roman" w:cs="Times New Roman"/>
          <w:sz w:val="24"/>
          <w:szCs w:val="24"/>
        </w:rPr>
        <w:t xml:space="preserve">Из </w:t>
      </w:r>
      <w:r w:rsidR="00CA09EA" w:rsidRPr="00E83314">
        <w:rPr>
          <w:rFonts w:ascii="Times New Roman" w:hAnsi="Times New Roman" w:cs="Times New Roman"/>
          <w:sz w:val="24"/>
          <w:szCs w:val="24"/>
        </w:rPr>
        <w:t>45</w:t>
      </w:r>
      <w:r w:rsidRPr="00E83314">
        <w:rPr>
          <w:rFonts w:ascii="Times New Roman" w:hAnsi="Times New Roman" w:cs="Times New Roman"/>
          <w:sz w:val="24"/>
          <w:szCs w:val="24"/>
        </w:rPr>
        <w:t xml:space="preserve"> целевых показателей муниципальных программ города Югорска, в дост</w:t>
      </w:r>
      <w:r w:rsidR="00CA09EA" w:rsidRPr="00E83314">
        <w:rPr>
          <w:rFonts w:ascii="Times New Roman" w:hAnsi="Times New Roman" w:cs="Times New Roman"/>
          <w:sz w:val="24"/>
          <w:szCs w:val="24"/>
        </w:rPr>
        <w:t>ижении которых участвует ГРБС, 38</w:t>
      </w:r>
      <w:r w:rsidRPr="00E83314">
        <w:rPr>
          <w:rFonts w:ascii="Times New Roman" w:hAnsi="Times New Roman" w:cs="Times New Roman"/>
          <w:sz w:val="24"/>
          <w:szCs w:val="24"/>
        </w:rPr>
        <w:t xml:space="preserve"> выполнено, что составляет </w:t>
      </w:r>
      <w:r w:rsidR="00CA09EA" w:rsidRPr="00E83314">
        <w:rPr>
          <w:rFonts w:ascii="Times New Roman" w:hAnsi="Times New Roman" w:cs="Times New Roman"/>
          <w:sz w:val="24"/>
          <w:szCs w:val="24"/>
        </w:rPr>
        <w:t>84,4</w:t>
      </w:r>
      <w:r w:rsidRPr="00E83314">
        <w:rPr>
          <w:rFonts w:ascii="Times New Roman" w:hAnsi="Times New Roman" w:cs="Times New Roman"/>
          <w:sz w:val="24"/>
          <w:szCs w:val="24"/>
        </w:rPr>
        <w:t>%.</w:t>
      </w:r>
    </w:p>
    <w:p w:rsidR="0079160E" w:rsidRPr="00E83314" w:rsidRDefault="007A7C1A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9) Показатели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 2.9</w:t>
      </w:r>
      <w:r w:rsidR="00681282" w:rsidRPr="00E83314">
        <w:rPr>
          <w:rFonts w:ascii="Times New Roman" w:hAnsi="Times New Roman" w:cs="Times New Roman"/>
          <w:sz w:val="24"/>
          <w:szCs w:val="24"/>
        </w:rPr>
        <w:t>.</w:t>
      </w:r>
      <w:r w:rsidR="00D8189C" w:rsidRPr="00E83314">
        <w:rPr>
          <w:rFonts w:ascii="Times New Roman" w:hAnsi="Times New Roman" w:cs="Times New Roman"/>
          <w:sz w:val="24"/>
          <w:szCs w:val="24"/>
        </w:rPr>
        <w:t xml:space="preserve"> «Удельный вес муниципальных учреждений, выполнивших и перевыполнивших муниципальное задание, в общем количестве муниципальных учреждений, которым </w:t>
      </w:r>
      <w:r w:rsidR="003D2CB9" w:rsidRPr="00E83314">
        <w:rPr>
          <w:rFonts w:ascii="Times New Roman" w:hAnsi="Times New Roman" w:cs="Times New Roman"/>
          <w:sz w:val="24"/>
          <w:szCs w:val="24"/>
        </w:rPr>
        <w:t>доведены муниципальные задания»</w:t>
      </w:r>
      <w:r w:rsidR="0079160E" w:rsidRPr="00E83314">
        <w:rPr>
          <w:rFonts w:ascii="Times New Roman" w:hAnsi="Times New Roman" w:cs="Times New Roman"/>
          <w:sz w:val="24"/>
          <w:szCs w:val="24"/>
        </w:rPr>
        <w:t>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Показател</w:t>
      </w:r>
      <w:r w:rsidR="0079160E" w:rsidRPr="00E83314">
        <w:rPr>
          <w:rFonts w:ascii="Times New Roman" w:hAnsi="Times New Roman" w:cs="Times New Roman"/>
          <w:sz w:val="24"/>
          <w:szCs w:val="24"/>
        </w:rPr>
        <w:t>ь</w:t>
      </w:r>
      <w:r w:rsidRPr="00E83314">
        <w:rPr>
          <w:rFonts w:ascii="Times New Roman" w:hAnsi="Times New Roman" w:cs="Times New Roman"/>
          <w:sz w:val="24"/>
          <w:szCs w:val="24"/>
        </w:rPr>
        <w:t xml:space="preserve"> характеризу</w:t>
      </w:r>
      <w:r w:rsidR="0079160E" w:rsidRPr="00E83314">
        <w:rPr>
          <w:rFonts w:ascii="Times New Roman" w:hAnsi="Times New Roman" w:cs="Times New Roman"/>
          <w:sz w:val="24"/>
          <w:szCs w:val="24"/>
        </w:rPr>
        <w:t>е</w:t>
      </w:r>
      <w:r w:rsidRPr="00E83314">
        <w:rPr>
          <w:rFonts w:ascii="Times New Roman" w:hAnsi="Times New Roman" w:cs="Times New Roman"/>
          <w:sz w:val="24"/>
          <w:szCs w:val="24"/>
        </w:rPr>
        <w:t xml:space="preserve">т качество работы по осуществлению </w:t>
      </w:r>
      <w:proofErr w:type="gramStart"/>
      <w:r w:rsidRPr="00E83314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E83314">
        <w:rPr>
          <w:rFonts w:ascii="Times New Roman" w:hAnsi="Times New Roman" w:cs="Times New Roman"/>
          <w:sz w:val="24"/>
          <w:szCs w:val="24"/>
        </w:rPr>
        <w:t xml:space="preserve"> выполнением подведомственными муниципальными бюджетными и автономными учреждениями муниципальных заданий в отчетном году.</w:t>
      </w:r>
    </w:p>
    <w:p w:rsidR="00D8189C" w:rsidRPr="00E8331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t>Показател</w:t>
      </w:r>
      <w:r w:rsidR="002440F4" w:rsidRPr="00E83314">
        <w:rPr>
          <w:rFonts w:ascii="Times New Roman" w:hAnsi="Times New Roman" w:cs="Times New Roman"/>
          <w:sz w:val="24"/>
          <w:szCs w:val="24"/>
        </w:rPr>
        <w:t>и</w:t>
      </w:r>
      <w:r w:rsidRPr="00E83314">
        <w:rPr>
          <w:rFonts w:ascii="Times New Roman" w:hAnsi="Times New Roman" w:cs="Times New Roman"/>
          <w:sz w:val="24"/>
          <w:szCs w:val="24"/>
        </w:rPr>
        <w:t xml:space="preserve"> по Думе города Югорска, Администраци</w:t>
      </w:r>
      <w:r w:rsidR="007A7C1A" w:rsidRPr="00E83314">
        <w:rPr>
          <w:rFonts w:ascii="Times New Roman" w:hAnsi="Times New Roman" w:cs="Times New Roman"/>
          <w:sz w:val="24"/>
          <w:szCs w:val="24"/>
        </w:rPr>
        <w:t>и</w:t>
      </w:r>
      <w:r w:rsidRPr="00E83314">
        <w:rPr>
          <w:rFonts w:ascii="Times New Roman" w:hAnsi="Times New Roman" w:cs="Times New Roman"/>
          <w:sz w:val="24"/>
          <w:szCs w:val="24"/>
        </w:rPr>
        <w:t xml:space="preserve"> города Югорска, МКУ «Централизованная бухгалтерия», МКУ «Служба обеспечения органов местного самоуправления», Департамент</w:t>
      </w:r>
      <w:r w:rsidR="007A7C1A" w:rsidRPr="00E83314">
        <w:rPr>
          <w:rFonts w:ascii="Times New Roman" w:hAnsi="Times New Roman" w:cs="Times New Roman"/>
          <w:sz w:val="24"/>
          <w:szCs w:val="24"/>
        </w:rPr>
        <w:t>у</w:t>
      </w:r>
      <w:r w:rsidRPr="00E83314">
        <w:rPr>
          <w:rFonts w:ascii="Times New Roman" w:hAnsi="Times New Roman" w:cs="Times New Roman"/>
          <w:sz w:val="24"/>
          <w:szCs w:val="24"/>
        </w:rPr>
        <w:t xml:space="preserve"> финансов, Департамент</w:t>
      </w:r>
      <w:r w:rsidR="007A7C1A" w:rsidRPr="00E83314">
        <w:rPr>
          <w:rFonts w:ascii="Times New Roman" w:hAnsi="Times New Roman" w:cs="Times New Roman"/>
          <w:sz w:val="24"/>
          <w:szCs w:val="24"/>
        </w:rPr>
        <w:t>у</w:t>
      </w:r>
      <w:r w:rsidRPr="00E83314">
        <w:rPr>
          <w:rFonts w:ascii="Times New Roman" w:hAnsi="Times New Roman" w:cs="Times New Roman"/>
          <w:sz w:val="24"/>
          <w:szCs w:val="24"/>
        </w:rPr>
        <w:t xml:space="preserve"> жилищно-коммунального и строительного комплекса</w:t>
      </w:r>
      <w:r w:rsidR="007A7C1A" w:rsidRPr="00E83314">
        <w:rPr>
          <w:rFonts w:ascii="Times New Roman" w:hAnsi="Times New Roman" w:cs="Times New Roman"/>
          <w:sz w:val="24"/>
          <w:szCs w:val="24"/>
        </w:rPr>
        <w:t xml:space="preserve"> не оценивал</w:t>
      </w:r>
      <w:r w:rsidR="002440F4" w:rsidRPr="00E83314">
        <w:rPr>
          <w:rFonts w:ascii="Times New Roman" w:hAnsi="Times New Roman" w:cs="Times New Roman"/>
          <w:sz w:val="24"/>
          <w:szCs w:val="24"/>
        </w:rPr>
        <w:t>и</w:t>
      </w:r>
      <w:r w:rsidR="007A7C1A" w:rsidRPr="00E83314">
        <w:rPr>
          <w:rFonts w:ascii="Times New Roman" w:hAnsi="Times New Roman" w:cs="Times New Roman"/>
          <w:sz w:val="24"/>
          <w:szCs w:val="24"/>
        </w:rPr>
        <w:t>с</w:t>
      </w:r>
      <w:r w:rsidR="002440F4" w:rsidRPr="00E83314">
        <w:rPr>
          <w:rFonts w:ascii="Times New Roman" w:hAnsi="Times New Roman" w:cs="Times New Roman"/>
          <w:sz w:val="24"/>
          <w:szCs w:val="24"/>
        </w:rPr>
        <w:t>ь</w:t>
      </w:r>
      <w:r w:rsidRPr="00E83314">
        <w:rPr>
          <w:rFonts w:ascii="Times New Roman" w:hAnsi="Times New Roman" w:cs="Times New Roman"/>
          <w:sz w:val="24"/>
          <w:szCs w:val="24"/>
        </w:rPr>
        <w:t>,</w:t>
      </w:r>
      <w:r w:rsidR="007A7C1A" w:rsidRPr="00E83314">
        <w:rPr>
          <w:rFonts w:ascii="Times New Roman" w:hAnsi="Times New Roman" w:cs="Times New Roman"/>
          <w:sz w:val="24"/>
          <w:szCs w:val="24"/>
        </w:rPr>
        <w:t xml:space="preserve"> так как данные</w:t>
      </w:r>
      <w:r w:rsidRPr="00E83314">
        <w:rPr>
          <w:rFonts w:ascii="Times New Roman" w:hAnsi="Times New Roman" w:cs="Times New Roman"/>
          <w:sz w:val="24"/>
          <w:szCs w:val="24"/>
        </w:rPr>
        <w:t xml:space="preserve"> ГРБС не исполняю</w:t>
      </w:r>
      <w:r w:rsidR="007A7C1A" w:rsidRPr="00E83314">
        <w:rPr>
          <w:rFonts w:ascii="Times New Roman" w:hAnsi="Times New Roman" w:cs="Times New Roman"/>
          <w:sz w:val="24"/>
          <w:szCs w:val="24"/>
        </w:rPr>
        <w:t>т</w:t>
      </w:r>
      <w:r w:rsidRPr="00E83314">
        <w:rPr>
          <w:rFonts w:ascii="Times New Roman" w:hAnsi="Times New Roman" w:cs="Times New Roman"/>
          <w:sz w:val="24"/>
          <w:szCs w:val="24"/>
        </w:rPr>
        <w:t xml:space="preserve"> функции учредителя</w:t>
      </w:r>
      <w:r w:rsidR="007A7C1A" w:rsidRPr="00E83314">
        <w:rPr>
          <w:rFonts w:ascii="Times New Roman" w:hAnsi="Times New Roman" w:cs="Times New Roman"/>
          <w:sz w:val="24"/>
          <w:szCs w:val="24"/>
        </w:rPr>
        <w:t xml:space="preserve"> в отношении муни</w:t>
      </w:r>
      <w:r w:rsidR="002440F4" w:rsidRPr="00E83314">
        <w:rPr>
          <w:rFonts w:ascii="Times New Roman" w:hAnsi="Times New Roman" w:cs="Times New Roman"/>
          <w:sz w:val="24"/>
          <w:szCs w:val="24"/>
        </w:rPr>
        <w:t>ци</w:t>
      </w:r>
      <w:r w:rsidR="007A7C1A" w:rsidRPr="00E83314">
        <w:rPr>
          <w:rFonts w:ascii="Times New Roman" w:hAnsi="Times New Roman" w:cs="Times New Roman"/>
          <w:sz w:val="24"/>
          <w:szCs w:val="24"/>
        </w:rPr>
        <w:t>пальных бюджетных и автономных учреждений</w:t>
      </w:r>
      <w:r w:rsidRPr="00E83314">
        <w:rPr>
          <w:rFonts w:ascii="Times New Roman" w:hAnsi="Times New Roman" w:cs="Times New Roman"/>
          <w:sz w:val="24"/>
          <w:szCs w:val="24"/>
        </w:rPr>
        <w:t>.</w:t>
      </w:r>
    </w:p>
    <w:p w:rsidR="003D2CB9" w:rsidRPr="00E83314" w:rsidRDefault="003D2CB9" w:rsidP="003D2C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3314">
        <w:rPr>
          <w:rFonts w:ascii="Times New Roman" w:hAnsi="Times New Roman" w:cs="Times New Roman"/>
          <w:sz w:val="24"/>
          <w:szCs w:val="24"/>
        </w:rPr>
        <w:lastRenderedPageBreak/>
        <w:t>Значения</w:t>
      </w:r>
      <w:r w:rsidR="002440F4" w:rsidRPr="00E83314">
        <w:rPr>
          <w:rFonts w:ascii="Times New Roman" w:hAnsi="Times New Roman" w:cs="Times New Roman"/>
          <w:sz w:val="24"/>
          <w:szCs w:val="24"/>
        </w:rPr>
        <w:t xml:space="preserve"> оценки</w:t>
      </w:r>
      <w:r w:rsidRPr="00E83314">
        <w:rPr>
          <w:rFonts w:ascii="Times New Roman" w:hAnsi="Times New Roman" w:cs="Times New Roman"/>
          <w:sz w:val="24"/>
          <w:szCs w:val="24"/>
        </w:rPr>
        <w:t xml:space="preserve"> показателей по всем оцениваемым ГРБС составили по 100,0 баллов (максимальное значение) (в 201</w:t>
      </w:r>
      <w:r w:rsidR="00F77F87" w:rsidRPr="00E83314">
        <w:rPr>
          <w:rFonts w:ascii="Times New Roman" w:hAnsi="Times New Roman" w:cs="Times New Roman"/>
          <w:sz w:val="24"/>
          <w:szCs w:val="24"/>
        </w:rPr>
        <w:t>5</w:t>
      </w:r>
      <w:r w:rsidRPr="00E83314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</w:t>
      </w:r>
      <w:r w:rsidR="00F77F87" w:rsidRPr="00E83314">
        <w:rPr>
          <w:rFonts w:ascii="Times New Roman" w:hAnsi="Times New Roman" w:cs="Times New Roman"/>
          <w:sz w:val="24"/>
          <w:szCs w:val="24"/>
        </w:rPr>
        <w:t xml:space="preserve">по данному показателю составляла </w:t>
      </w:r>
      <w:r w:rsidR="00D71E8E" w:rsidRPr="00E83314">
        <w:rPr>
          <w:rFonts w:ascii="Times New Roman" w:hAnsi="Times New Roman" w:cs="Times New Roman"/>
          <w:sz w:val="24"/>
          <w:szCs w:val="24"/>
        </w:rPr>
        <w:t>10</w:t>
      </w:r>
      <w:r w:rsidR="007331D5" w:rsidRPr="00E83314">
        <w:rPr>
          <w:rFonts w:ascii="Times New Roman" w:hAnsi="Times New Roman" w:cs="Times New Roman"/>
          <w:sz w:val="24"/>
          <w:szCs w:val="24"/>
        </w:rPr>
        <w:t>0,0 баллов</w:t>
      </w:r>
      <w:r w:rsidRPr="00E83314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1</w:t>
      </w:r>
      <w:r w:rsidR="007331D5" w:rsidRPr="00C553E4">
        <w:rPr>
          <w:rFonts w:ascii="Times New Roman" w:hAnsi="Times New Roman" w:cs="Times New Roman"/>
          <w:sz w:val="24"/>
          <w:szCs w:val="24"/>
        </w:rPr>
        <w:t>0</w:t>
      </w:r>
      <w:r w:rsidRPr="00C553E4">
        <w:rPr>
          <w:rFonts w:ascii="Times New Roman" w:hAnsi="Times New Roman" w:cs="Times New Roman"/>
          <w:sz w:val="24"/>
          <w:szCs w:val="24"/>
        </w:rPr>
        <w:t>) Показатель 2.1</w:t>
      </w:r>
      <w:r w:rsidR="001C3C36" w:rsidRPr="00C553E4">
        <w:rPr>
          <w:rFonts w:ascii="Times New Roman" w:hAnsi="Times New Roman" w:cs="Times New Roman"/>
          <w:sz w:val="24"/>
          <w:szCs w:val="24"/>
        </w:rPr>
        <w:t>0.</w:t>
      </w:r>
      <w:r w:rsidRPr="00C553E4">
        <w:rPr>
          <w:rFonts w:ascii="Times New Roman" w:hAnsi="Times New Roman" w:cs="Times New Roman"/>
          <w:sz w:val="24"/>
          <w:szCs w:val="24"/>
        </w:rPr>
        <w:t xml:space="preserve"> «Удельный вес подведомственных муниципальных учреждений с долей доходов от приносящей доход деятельности в общей структуре доходов свыше 5%».</w:t>
      </w:r>
    </w:p>
    <w:p w:rsidR="00D8189C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D8189C" w:rsidRPr="00C553E4" w:rsidRDefault="007331D5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Департаменту финансов, Департаменту жилищно-коммунального и строительного комплекса не оценивался, так как данные ГРБС </w:t>
      </w:r>
      <w:r w:rsidR="00D8189C" w:rsidRPr="00C553E4">
        <w:rPr>
          <w:rFonts w:ascii="Times New Roman" w:hAnsi="Times New Roman" w:cs="Times New Roman"/>
          <w:sz w:val="24"/>
          <w:szCs w:val="24"/>
        </w:rPr>
        <w:t>не име</w:t>
      </w:r>
      <w:r w:rsidRPr="00C553E4">
        <w:rPr>
          <w:rFonts w:ascii="Times New Roman" w:hAnsi="Times New Roman" w:cs="Times New Roman"/>
          <w:sz w:val="24"/>
          <w:szCs w:val="24"/>
        </w:rPr>
        <w:t>ю</w:t>
      </w:r>
      <w:r w:rsidR="00D8189C" w:rsidRPr="00C553E4">
        <w:rPr>
          <w:rFonts w:ascii="Times New Roman" w:hAnsi="Times New Roman" w:cs="Times New Roman"/>
          <w:sz w:val="24"/>
          <w:szCs w:val="24"/>
        </w:rPr>
        <w:t>т подведомственных муниципальных бюджетных и автономных учреждений.</w:t>
      </w:r>
    </w:p>
    <w:p w:rsidR="007331D5" w:rsidRPr="00C553E4" w:rsidRDefault="007331D5" w:rsidP="007331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107B0A" w:rsidRPr="00C553E4">
        <w:rPr>
          <w:rFonts w:ascii="Times New Roman" w:hAnsi="Times New Roman" w:cs="Times New Roman"/>
          <w:sz w:val="24"/>
          <w:szCs w:val="24"/>
        </w:rPr>
        <w:t>36</w:t>
      </w:r>
      <w:r w:rsidRPr="00C553E4">
        <w:rPr>
          <w:rFonts w:ascii="Times New Roman" w:hAnsi="Times New Roman" w:cs="Times New Roman"/>
          <w:sz w:val="24"/>
          <w:szCs w:val="24"/>
        </w:rPr>
        <w:t xml:space="preserve">,0 баллов, что </w:t>
      </w:r>
      <w:r w:rsidR="00107B0A" w:rsidRPr="00C553E4">
        <w:rPr>
          <w:rFonts w:ascii="Times New Roman" w:hAnsi="Times New Roman" w:cs="Times New Roman"/>
          <w:sz w:val="24"/>
          <w:szCs w:val="24"/>
        </w:rPr>
        <w:t>выш</w:t>
      </w:r>
      <w:r w:rsidRPr="00C553E4">
        <w:rPr>
          <w:rFonts w:ascii="Times New Roman" w:hAnsi="Times New Roman" w:cs="Times New Roman"/>
          <w:sz w:val="24"/>
          <w:szCs w:val="24"/>
        </w:rPr>
        <w:t>е уровня за</w:t>
      </w:r>
      <w:r w:rsidR="00866C8C" w:rsidRPr="00C553E4">
        <w:rPr>
          <w:rFonts w:ascii="Times New Roman" w:hAnsi="Times New Roman" w:cs="Times New Roman"/>
          <w:sz w:val="24"/>
          <w:szCs w:val="24"/>
        </w:rPr>
        <w:t xml:space="preserve"> 2015</w:t>
      </w:r>
      <w:r w:rsidRPr="00C553E4">
        <w:rPr>
          <w:rFonts w:ascii="Times New Roman" w:hAnsi="Times New Roman" w:cs="Times New Roman"/>
          <w:sz w:val="24"/>
          <w:szCs w:val="24"/>
        </w:rPr>
        <w:t xml:space="preserve"> год на 1</w:t>
      </w:r>
      <w:r w:rsidR="00107B0A" w:rsidRPr="00C553E4">
        <w:rPr>
          <w:rFonts w:ascii="Times New Roman" w:hAnsi="Times New Roman" w:cs="Times New Roman"/>
          <w:sz w:val="24"/>
          <w:szCs w:val="24"/>
        </w:rPr>
        <w:t>6</w:t>
      </w:r>
      <w:r w:rsidRPr="00C553E4">
        <w:rPr>
          <w:rFonts w:ascii="Times New Roman" w:hAnsi="Times New Roman" w:cs="Times New Roman"/>
          <w:sz w:val="24"/>
          <w:szCs w:val="24"/>
        </w:rPr>
        <w:t xml:space="preserve"> баллов (в 201</w:t>
      </w:r>
      <w:r w:rsidR="00866C8C" w:rsidRPr="00C553E4">
        <w:rPr>
          <w:rFonts w:ascii="Times New Roman" w:hAnsi="Times New Roman" w:cs="Times New Roman"/>
          <w:sz w:val="24"/>
          <w:szCs w:val="24"/>
        </w:rPr>
        <w:t>5</w:t>
      </w:r>
      <w:r w:rsidRPr="00C553E4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</w:t>
      </w:r>
      <w:r w:rsidR="00866C8C" w:rsidRPr="00C553E4">
        <w:rPr>
          <w:rFonts w:ascii="Times New Roman" w:hAnsi="Times New Roman" w:cs="Times New Roman"/>
          <w:sz w:val="24"/>
          <w:szCs w:val="24"/>
        </w:rPr>
        <w:t xml:space="preserve"> данному показателю составляла </w:t>
      </w:r>
      <w:r w:rsidRPr="00C553E4">
        <w:rPr>
          <w:rFonts w:ascii="Times New Roman" w:hAnsi="Times New Roman" w:cs="Times New Roman"/>
          <w:sz w:val="24"/>
          <w:szCs w:val="24"/>
        </w:rPr>
        <w:t>2</w:t>
      </w:r>
      <w:r w:rsidR="00866C8C" w:rsidRPr="00C553E4">
        <w:rPr>
          <w:rFonts w:ascii="Times New Roman" w:hAnsi="Times New Roman" w:cs="Times New Roman"/>
          <w:sz w:val="24"/>
          <w:szCs w:val="24"/>
        </w:rPr>
        <w:t>0</w:t>
      </w:r>
      <w:r w:rsidRPr="00C553E4">
        <w:rPr>
          <w:rFonts w:ascii="Times New Roman" w:hAnsi="Times New Roman" w:cs="Times New Roman"/>
          <w:sz w:val="24"/>
          <w:szCs w:val="24"/>
        </w:rPr>
        <w:t>,0 балл</w:t>
      </w:r>
      <w:r w:rsidR="003421EB">
        <w:rPr>
          <w:rFonts w:ascii="Times New Roman" w:hAnsi="Times New Roman" w:cs="Times New Roman"/>
          <w:sz w:val="24"/>
          <w:szCs w:val="24"/>
        </w:rPr>
        <w:t>ов</w:t>
      </w:r>
      <w:r w:rsidRPr="00C553E4">
        <w:rPr>
          <w:rFonts w:ascii="Times New Roman" w:hAnsi="Times New Roman" w:cs="Times New Roman"/>
          <w:sz w:val="24"/>
          <w:szCs w:val="24"/>
        </w:rPr>
        <w:t>).</w:t>
      </w:r>
    </w:p>
    <w:p w:rsidR="00812B5E" w:rsidRPr="00C553E4" w:rsidRDefault="00D8189C" w:rsidP="00812B5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812B5E" w:rsidRPr="00C553E4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C553E4">
        <w:rPr>
          <w:rFonts w:ascii="Times New Roman" w:hAnsi="Times New Roman" w:cs="Times New Roman"/>
          <w:sz w:val="24"/>
          <w:szCs w:val="24"/>
        </w:rPr>
        <w:t xml:space="preserve">показателя </w:t>
      </w:r>
      <w:r w:rsidR="007331D5" w:rsidRPr="00C553E4">
        <w:rPr>
          <w:rFonts w:ascii="Times New Roman" w:hAnsi="Times New Roman" w:cs="Times New Roman"/>
          <w:sz w:val="24"/>
          <w:szCs w:val="24"/>
        </w:rPr>
        <w:t>10</w:t>
      </w:r>
      <w:r w:rsidRPr="00C553E4">
        <w:rPr>
          <w:rFonts w:ascii="Times New Roman" w:hAnsi="Times New Roman" w:cs="Times New Roman"/>
          <w:sz w:val="24"/>
          <w:szCs w:val="24"/>
        </w:rPr>
        <w:t xml:space="preserve">0,0 баллов составило по </w:t>
      </w:r>
      <w:r w:rsidR="007331D5" w:rsidRPr="00C553E4">
        <w:rPr>
          <w:rFonts w:ascii="Times New Roman" w:hAnsi="Times New Roman" w:cs="Times New Roman"/>
          <w:sz w:val="24"/>
          <w:szCs w:val="24"/>
        </w:rPr>
        <w:t>Департаменту муниципальной соб</w:t>
      </w:r>
      <w:r w:rsidR="00812B5E" w:rsidRPr="00C553E4">
        <w:rPr>
          <w:rFonts w:ascii="Times New Roman" w:hAnsi="Times New Roman" w:cs="Times New Roman"/>
          <w:sz w:val="24"/>
          <w:szCs w:val="24"/>
        </w:rPr>
        <w:t>ственности и градостроительства. Доля доходов от приносящей доход деятельности в общей структуре доходов МАУ «Городское лесничество» более 5%.</w:t>
      </w:r>
    </w:p>
    <w:p w:rsidR="0032793B" w:rsidRPr="00C553E4" w:rsidRDefault="00107B0A" w:rsidP="003279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Значение оценки показателя 80,0 баллов соста</w:t>
      </w:r>
      <w:r w:rsidR="0032793B">
        <w:rPr>
          <w:rFonts w:ascii="Times New Roman" w:hAnsi="Times New Roman" w:cs="Times New Roman"/>
          <w:sz w:val="24"/>
          <w:szCs w:val="24"/>
        </w:rPr>
        <w:t xml:space="preserve">вило по Управлению образования, так как из 14 подведомственных учреждений 7 имеют долю доходов </w:t>
      </w:r>
      <w:r w:rsidR="0032793B" w:rsidRPr="00C553E4">
        <w:rPr>
          <w:rFonts w:ascii="Times New Roman" w:hAnsi="Times New Roman" w:cs="Times New Roman"/>
          <w:sz w:val="24"/>
          <w:szCs w:val="24"/>
        </w:rPr>
        <w:t>от приносящей доход деятельности в общей структуре доходов более 5%.</w:t>
      </w:r>
    </w:p>
    <w:p w:rsidR="00251D75" w:rsidRPr="00C553E4" w:rsidRDefault="00251D75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У остальных оцениваемых ГРБС значение оценки показателя 0 баллов (менее 50% подведомственных муниципальных бюджетных и автономных учреждений имеют долю доходов от приносящей доход деятельности в общей структуре доходов свыше 5%).</w:t>
      </w:r>
    </w:p>
    <w:p w:rsidR="00D8189C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1</w:t>
      </w:r>
      <w:r w:rsidR="00751FD4" w:rsidRPr="00C553E4">
        <w:rPr>
          <w:rFonts w:ascii="Times New Roman" w:hAnsi="Times New Roman" w:cs="Times New Roman"/>
          <w:sz w:val="24"/>
          <w:szCs w:val="24"/>
        </w:rPr>
        <w:t>1</w:t>
      </w:r>
      <w:r w:rsidRPr="00C553E4">
        <w:rPr>
          <w:rFonts w:ascii="Times New Roman" w:hAnsi="Times New Roman" w:cs="Times New Roman"/>
          <w:sz w:val="24"/>
          <w:szCs w:val="24"/>
        </w:rPr>
        <w:t>) Показатель 2.1</w:t>
      </w:r>
      <w:r w:rsidR="00265A8C" w:rsidRPr="00C553E4">
        <w:rPr>
          <w:rFonts w:ascii="Times New Roman" w:hAnsi="Times New Roman" w:cs="Times New Roman"/>
          <w:sz w:val="24"/>
          <w:szCs w:val="24"/>
        </w:rPr>
        <w:t>1.</w:t>
      </w:r>
      <w:r w:rsidRPr="00C553E4">
        <w:rPr>
          <w:rFonts w:ascii="Times New Roman" w:hAnsi="Times New Roman" w:cs="Times New Roman"/>
          <w:sz w:val="24"/>
          <w:szCs w:val="24"/>
        </w:rPr>
        <w:t xml:space="preserve"> «Динамика объема доходов муниципальных бюджетных и автономных учреждений, подведомственных ГРБС, от приносящей доход деятельности».</w:t>
      </w:r>
    </w:p>
    <w:p w:rsidR="00D8189C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251D75" w:rsidRPr="00C553E4" w:rsidRDefault="00251D75" w:rsidP="00251D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Департаменту финансов, Департаменту жилищно-коммунального и строительного комплекса не оценивался, так как данные ГРБС не имеют подведомственных муниципальных бюджетных и автономных учреждений.</w:t>
      </w:r>
    </w:p>
    <w:p w:rsidR="00D96B3B" w:rsidRPr="00C553E4" w:rsidRDefault="00D96B3B" w:rsidP="00D96B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2F4111" w:rsidRPr="00C553E4">
        <w:rPr>
          <w:rFonts w:ascii="Times New Roman" w:hAnsi="Times New Roman" w:cs="Times New Roman"/>
          <w:sz w:val="24"/>
          <w:szCs w:val="24"/>
        </w:rPr>
        <w:t>4</w:t>
      </w:r>
      <w:r w:rsidRPr="00C553E4">
        <w:rPr>
          <w:rFonts w:ascii="Times New Roman" w:hAnsi="Times New Roman" w:cs="Times New Roman"/>
          <w:sz w:val="24"/>
          <w:szCs w:val="24"/>
        </w:rPr>
        <w:t>0,0 баллов (в 201</w:t>
      </w:r>
      <w:r w:rsidR="008719E0" w:rsidRPr="00C553E4">
        <w:rPr>
          <w:rFonts w:ascii="Times New Roman" w:hAnsi="Times New Roman" w:cs="Times New Roman"/>
          <w:sz w:val="24"/>
          <w:szCs w:val="24"/>
        </w:rPr>
        <w:t>5</w:t>
      </w:r>
      <w:r w:rsidRPr="00C553E4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60,0 баллов).</w:t>
      </w:r>
    </w:p>
    <w:p w:rsidR="00D96B3B" w:rsidRPr="00C553E4" w:rsidRDefault="00D96B3B" w:rsidP="00D96B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Оценку показателя 100,0 баллов набрали: </w:t>
      </w:r>
    </w:p>
    <w:p w:rsidR="00D96B3B" w:rsidRPr="00C553E4" w:rsidRDefault="00D96B3B" w:rsidP="00D96B3B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</w:pPr>
      <w:r w:rsidRPr="00C553E4">
        <w:t>Управление образования (объем доходов</w:t>
      </w:r>
      <w:r w:rsidR="00751FD4" w:rsidRPr="00C553E4">
        <w:t xml:space="preserve"> подведомственных учреждений</w:t>
      </w:r>
      <w:r w:rsidRPr="00C553E4">
        <w:t xml:space="preserve"> от приносящей доход деятельности в 201</w:t>
      </w:r>
      <w:r w:rsidR="002F4111" w:rsidRPr="00C553E4">
        <w:t>6</w:t>
      </w:r>
      <w:r w:rsidRPr="00C553E4">
        <w:t xml:space="preserve"> году увеличился по сравнению с 201</w:t>
      </w:r>
      <w:r w:rsidR="002F4111" w:rsidRPr="00C553E4">
        <w:t>5</w:t>
      </w:r>
      <w:r w:rsidRPr="00C553E4">
        <w:t xml:space="preserve"> годом </w:t>
      </w:r>
      <w:r w:rsidR="00751FD4" w:rsidRPr="00C553E4">
        <w:t xml:space="preserve">на </w:t>
      </w:r>
      <w:r w:rsidR="002F4111" w:rsidRPr="00C553E4">
        <w:t>45,6</w:t>
      </w:r>
      <w:r w:rsidR="00751FD4" w:rsidRPr="00C553E4">
        <w:t>%</w:t>
      </w:r>
      <w:r w:rsidRPr="00C553E4">
        <w:t>);</w:t>
      </w:r>
    </w:p>
    <w:p w:rsidR="00D96B3B" w:rsidRPr="00C553E4" w:rsidRDefault="00D96B3B" w:rsidP="00D96B3B">
      <w:pPr>
        <w:pStyle w:val="a3"/>
        <w:numPr>
          <w:ilvl w:val="0"/>
          <w:numId w:val="15"/>
        </w:numPr>
        <w:tabs>
          <w:tab w:val="left" w:pos="993"/>
        </w:tabs>
        <w:spacing w:line="240" w:lineRule="auto"/>
        <w:ind w:left="0" w:firstLine="709"/>
      </w:pPr>
      <w:r w:rsidRPr="00C553E4">
        <w:t>Управление социальной политики</w:t>
      </w:r>
      <w:r w:rsidR="00751FD4" w:rsidRPr="00C553E4">
        <w:t xml:space="preserve"> (объем доходов подведомственных учреждений от приносящей доход деятельности в 201</w:t>
      </w:r>
      <w:r w:rsidR="002F4111" w:rsidRPr="00C553E4">
        <w:t>6</w:t>
      </w:r>
      <w:r w:rsidR="00751FD4" w:rsidRPr="00C553E4">
        <w:t xml:space="preserve"> году увеличился по сравнению с 201</w:t>
      </w:r>
      <w:r w:rsidR="002F4111" w:rsidRPr="00C553E4">
        <w:t>5</w:t>
      </w:r>
      <w:r w:rsidR="00751FD4" w:rsidRPr="00C553E4">
        <w:t xml:space="preserve"> годом на 1</w:t>
      </w:r>
      <w:r w:rsidR="002F4111" w:rsidRPr="00C553E4">
        <w:t>5</w:t>
      </w:r>
      <w:r w:rsidR="00751FD4" w:rsidRPr="00C553E4">
        <w:t>,0%)</w:t>
      </w:r>
      <w:r w:rsidRPr="00C553E4">
        <w:t>.</w:t>
      </w:r>
    </w:p>
    <w:p w:rsidR="00D96B3B" w:rsidRPr="00C553E4" w:rsidRDefault="00D96B3B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Показатель оценен на 0</w:t>
      </w:r>
      <w:r w:rsidR="00D8189C" w:rsidRPr="00C553E4">
        <w:rPr>
          <w:rFonts w:ascii="Times New Roman" w:hAnsi="Times New Roman" w:cs="Times New Roman"/>
          <w:sz w:val="24"/>
          <w:szCs w:val="24"/>
        </w:rPr>
        <w:t xml:space="preserve"> баллов по Управлени</w:t>
      </w:r>
      <w:r w:rsidRPr="00C553E4">
        <w:rPr>
          <w:rFonts w:ascii="Times New Roman" w:hAnsi="Times New Roman" w:cs="Times New Roman"/>
          <w:sz w:val="24"/>
          <w:szCs w:val="24"/>
        </w:rPr>
        <w:t>ю</w:t>
      </w:r>
      <w:r w:rsidR="00A0407F" w:rsidRPr="00C553E4">
        <w:rPr>
          <w:rFonts w:ascii="Times New Roman" w:hAnsi="Times New Roman" w:cs="Times New Roman"/>
          <w:sz w:val="24"/>
          <w:szCs w:val="24"/>
        </w:rPr>
        <w:t xml:space="preserve"> культуры, </w:t>
      </w:r>
      <w:r w:rsidRPr="00C553E4">
        <w:rPr>
          <w:rFonts w:ascii="Times New Roman" w:hAnsi="Times New Roman" w:cs="Times New Roman"/>
          <w:sz w:val="24"/>
          <w:szCs w:val="24"/>
        </w:rPr>
        <w:t>Департаменту муниципальной собственности и градостроительства,</w:t>
      </w:r>
      <w:r w:rsidR="00A0407F" w:rsidRPr="00C553E4">
        <w:rPr>
          <w:rFonts w:ascii="Times New Roman" w:hAnsi="Times New Roman" w:cs="Times New Roman"/>
          <w:sz w:val="24"/>
          <w:szCs w:val="24"/>
        </w:rPr>
        <w:t xml:space="preserve"> Управлению экономической политики,</w:t>
      </w:r>
      <w:r w:rsidRPr="00C553E4">
        <w:rPr>
          <w:rFonts w:ascii="Times New Roman" w:hAnsi="Times New Roman" w:cs="Times New Roman"/>
          <w:sz w:val="24"/>
          <w:szCs w:val="24"/>
        </w:rPr>
        <w:t xml:space="preserve"> т.к. </w:t>
      </w:r>
      <w:r w:rsidR="00D8189C" w:rsidRPr="00C553E4">
        <w:rPr>
          <w:rFonts w:ascii="Times New Roman" w:hAnsi="Times New Roman" w:cs="Times New Roman"/>
          <w:sz w:val="24"/>
          <w:szCs w:val="24"/>
        </w:rPr>
        <w:t xml:space="preserve">объем доходов </w:t>
      </w:r>
      <w:r w:rsidRPr="00C553E4">
        <w:rPr>
          <w:rFonts w:ascii="Times New Roman" w:hAnsi="Times New Roman" w:cs="Times New Roman"/>
          <w:sz w:val="24"/>
          <w:szCs w:val="24"/>
        </w:rPr>
        <w:t xml:space="preserve">подведомственных учреждений </w:t>
      </w:r>
      <w:r w:rsidR="00D8189C" w:rsidRPr="00C553E4">
        <w:rPr>
          <w:rFonts w:ascii="Times New Roman" w:hAnsi="Times New Roman" w:cs="Times New Roman"/>
          <w:sz w:val="24"/>
          <w:szCs w:val="24"/>
        </w:rPr>
        <w:t>от приносящей доход деятельности в 201</w:t>
      </w:r>
      <w:r w:rsidR="008719E0" w:rsidRPr="00C553E4">
        <w:rPr>
          <w:rFonts w:ascii="Times New Roman" w:hAnsi="Times New Roman" w:cs="Times New Roman"/>
          <w:sz w:val="24"/>
          <w:szCs w:val="24"/>
        </w:rPr>
        <w:t>6</w:t>
      </w:r>
      <w:r w:rsidR="00D8189C" w:rsidRPr="00C553E4">
        <w:rPr>
          <w:rFonts w:ascii="Times New Roman" w:hAnsi="Times New Roman" w:cs="Times New Roman"/>
          <w:sz w:val="24"/>
          <w:szCs w:val="24"/>
        </w:rPr>
        <w:t xml:space="preserve"> году снизился по сравнени</w:t>
      </w:r>
      <w:r w:rsidRPr="00C553E4">
        <w:rPr>
          <w:rFonts w:ascii="Times New Roman" w:hAnsi="Times New Roman" w:cs="Times New Roman"/>
          <w:sz w:val="24"/>
          <w:szCs w:val="24"/>
        </w:rPr>
        <w:t>ю с 201</w:t>
      </w:r>
      <w:r w:rsidR="008719E0" w:rsidRPr="00C553E4">
        <w:rPr>
          <w:rFonts w:ascii="Times New Roman" w:hAnsi="Times New Roman" w:cs="Times New Roman"/>
          <w:sz w:val="24"/>
          <w:szCs w:val="24"/>
        </w:rPr>
        <w:t>5</w:t>
      </w:r>
      <w:r w:rsidR="00D8189C" w:rsidRPr="00C553E4">
        <w:rPr>
          <w:rFonts w:ascii="Times New Roman" w:hAnsi="Times New Roman" w:cs="Times New Roman"/>
          <w:sz w:val="24"/>
          <w:szCs w:val="24"/>
        </w:rPr>
        <w:t xml:space="preserve"> годом</w:t>
      </w:r>
      <w:r w:rsidRPr="00C553E4">
        <w:rPr>
          <w:rFonts w:ascii="Times New Roman" w:hAnsi="Times New Roman" w:cs="Times New Roman"/>
          <w:sz w:val="24"/>
          <w:szCs w:val="24"/>
        </w:rPr>
        <w:t>.</w:t>
      </w:r>
    </w:p>
    <w:p w:rsidR="00473609" w:rsidRPr="00C553E4" w:rsidRDefault="00473609" w:rsidP="00F30DDF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</w:rPr>
      </w:pPr>
      <w:proofErr w:type="gramStart"/>
      <w:r w:rsidRPr="00C553E4">
        <w:rPr>
          <w:rFonts w:ascii="Times New Roman" w:hAnsi="Times New Roman" w:cs="Times New Roman"/>
          <w:sz w:val="24"/>
          <w:szCs w:val="24"/>
        </w:rPr>
        <w:t>Снижение показателя со 100,0 баллов в 2015 году до 0 баллов в 2016 году по  Управлению экономической политики (</w:t>
      </w:r>
      <w:r w:rsidRPr="00C553E4">
        <w:rPr>
          <w:rFonts w:ascii="Times New Roman" w:eastAsia="Arial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 объясняется поступлением в 2015 году доходов в виде гранта из бюджета Ханты - Мансийского автономного округа - Югры за победу в конкурсе «Лучший МФЦ ХМАО – Югры» в размере  50,0 тыс. рублей.</w:t>
      </w:r>
      <w:proofErr w:type="gramEnd"/>
    </w:p>
    <w:p w:rsidR="00D8189C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1</w:t>
      </w:r>
      <w:r w:rsidR="00751FD4" w:rsidRPr="00C553E4">
        <w:rPr>
          <w:rFonts w:ascii="Times New Roman" w:hAnsi="Times New Roman" w:cs="Times New Roman"/>
          <w:sz w:val="24"/>
          <w:szCs w:val="24"/>
        </w:rPr>
        <w:t>2</w:t>
      </w:r>
      <w:r w:rsidRPr="00C553E4">
        <w:rPr>
          <w:rFonts w:ascii="Times New Roman" w:hAnsi="Times New Roman" w:cs="Times New Roman"/>
          <w:sz w:val="24"/>
          <w:szCs w:val="24"/>
        </w:rPr>
        <w:t>) Показатель 2.1</w:t>
      </w:r>
      <w:r w:rsidR="00584798" w:rsidRPr="00C553E4">
        <w:rPr>
          <w:rFonts w:ascii="Times New Roman" w:hAnsi="Times New Roman" w:cs="Times New Roman"/>
          <w:sz w:val="24"/>
          <w:szCs w:val="24"/>
        </w:rPr>
        <w:t>2.</w:t>
      </w:r>
      <w:r w:rsidRPr="00C553E4">
        <w:rPr>
          <w:rFonts w:ascii="Times New Roman" w:hAnsi="Times New Roman" w:cs="Times New Roman"/>
          <w:sz w:val="24"/>
          <w:szCs w:val="24"/>
        </w:rPr>
        <w:t xml:space="preserve"> «Динамика объема доходов муниципальных бюджетных и автономных учреждений, подведомственных ГРБС, от оказания платных услуг».</w:t>
      </w:r>
    </w:p>
    <w:p w:rsidR="00D8189C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lastRenderedPageBreak/>
        <w:t>Показатель характеризует качество работы по привлечению дополнительных доходов подведомственных ГРБС муниципальных бюджетных и автономных учреждений от приносящей доход деятельности.</w:t>
      </w:r>
    </w:p>
    <w:p w:rsidR="00751FD4" w:rsidRPr="00C553E4" w:rsidRDefault="00751FD4" w:rsidP="00751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Показатель по Думе города Югорска, Администрации города Югорска, МКУ «Централизованная бухгалтерия», МКУ «Служба обеспечения органов местного самоуправления», Департаменту финансов, Департаменту жилищно-коммунального и строительного комплекса не оценивался, так как данные ГРБС не имеют подведомственных муниципальных бюджетных и автономных учреждений.</w:t>
      </w:r>
    </w:p>
    <w:p w:rsidR="00751FD4" w:rsidRPr="00C553E4" w:rsidRDefault="00751FD4" w:rsidP="00751FD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60,0 баллов </w:t>
      </w:r>
      <w:r w:rsidR="00A25BA8" w:rsidRPr="00C553E4">
        <w:rPr>
          <w:rFonts w:ascii="Times New Roman" w:hAnsi="Times New Roman" w:cs="Times New Roman"/>
          <w:sz w:val="24"/>
          <w:szCs w:val="24"/>
        </w:rPr>
        <w:t>(в 2015 году средняя балльная оценка качества финансового менеджмента по данному показателю составляла также 60,0 баллов)</w:t>
      </w:r>
      <w:r w:rsidR="004E2532" w:rsidRPr="00C553E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E2532" w:rsidRPr="00C553E4" w:rsidRDefault="00751FD4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Максимальное значение оценки п</w:t>
      </w:r>
      <w:r w:rsidR="00D8189C" w:rsidRPr="00C553E4">
        <w:rPr>
          <w:rFonts w:ascii="Times New Roman" w:hAnsi="Times New Roman" w:cs="Times New Roman"/>
          <w:sz w:val="24"/>
          <w:szCs w:val="24"/>
        </w:rPr>
        <w:t>оказател</w:t>
      </w:r>
      <w:r w:rsidRPr="00C553E4">
        <w:rPr>
          <w:rFonts w:ascii="Times New Roman" w:hAnsi="Times New Roman" w:cs="Times New Roman"/>
          <w:sz w:val="24"/>
          <w:szCs w:val="24"/>
        </w:rPr>
        <w:t>я</w:t>
      </w:r>
      <w:r w:rsidR="00D8189C" w:rsidRPr="00C553E4">
        <w:rPr>
          <w:rFonts w:ascii="Times New Roman" w:hAnsi="Times New Roman" w:cs="Times New Roman"/>
          <w:sz w:val="24"/>
          <w:szCs w:val="24"/>
        </w:rPr>
        <w:t xml:space="preserve"> 100,0 баллов </w:t>
      </w:r>
      <w:r w:rsidRPr="00C553E4">
        <w:rPr>
          <w:rFonts w:ascii="Times New Roman" w:hAnsi="Times New Roman" w:cs="Times New Roman"/>
          <w:sz w:val="24"/>
          <w:szCs w:val="24"/>
        </w:rPr>
        <w:t xml:space="preserve">набрали: </w:t>
      </w:r>
    </w:p>
    <w:p w:rsidR="00751FD4" w:rsidRPr="00C553E4" w:rsidRDefault="00E00C70" w:rsidP="00E00C70">
      <w:pPr>
        <w:pStyle w:val="a3"/>
        <w:numPr>
          <w:ilvl w:val="0"/>
          <w:numId w:val="17"/>
        </w:numPr>
        <w:tabs>
          <w:tab w:val="left" w:pos="993"/>
        </w:tabs>
        <w:ind w:left="0" w:firstLine="709"/>
      </w:pPr>
      <w:bookmarkStart w:id="1" w:name="_GoBack"/>
      <w:bookmarkEnd w:id="1"/>
      <w:r w:rsidRPr="00C553E4">
        <w:t>Управление экономической политики</w:t>
      </w:r>
      <w:r w:rsidR="00F01A5B" w:rsidRPr="00C553E4">
        <w:t xml:space="preserve"> (в отношении МАУ «Многофункциональный центр предоставления государственных и муниципальных услуг»)</w:t>
      </w:r>
      <w:r w:rsidRPr="00C553E4">
        <w:t xml:space="preserve">. Объем доходов </w:t>
      </w:r>
      <w:r w:rsidRPr="00C553E4">
        <w:rPr>
          <w:rFonts w:eastAsia="Arial"/>
        </w:rPr>
        <w:t>МАУ «Многофункциональный центр предоставления государственных и муниципальных услуг»</w:t>
      </w:r>
      <w:r w:rsidRPr="00C553E4">
        <w:t xml:space="preserve"> от оказания платных услуг вырос на 518,0% относительно 2015 года. Платные услуги </w:t>
      </w:r>
      <w:r w:rsidRPr="00C553E4">
        <w:rPr>
          <w:rFonts w:eastAsia="Arial"/>
        </w:rPr>
        <w:t>оказываются учреждением с 29.07.2015, в 2016 году пере</w:t>
      </w:r>
      <w:r w:rsidR="002714FF" w:rsidRPr="00C553E4">
        <w:rPr>
          <w:rFonts w:eastAsia="Arial"/>
        </w:rPr>
        <w:t>чень платных услуг был расширен</w:t>
      </w:r>
      <w:r w:rsidRPr="00C553E4">
        <w:rPr>
          <w:rFonts w:eastAsia="Arial"/>
        </w:rPr>
        <w:t>.</w:t>
      </w:r>
    </w:p>
    <w:p w:rsidR="004E2532" w:rsidRPr="00C553E4" w:rsidRDefault="004E2532" w:rsidP="00191B53">
      <w:pPr>
        <w:pStyle w:val="a3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</w:pPr>
      <w:r w:rsidRPr="00C553E4">
        <w:t xml:space="preserve">Управление </w:t>
      </w:r>
      <w:r w:rsidR="00191B53" w:rsidRPr="00C553E4">
        <w:t>образования</w:t>
      </w:r>
      <w:r w:rsidRPr="00C553E4">
        <w:t>. Объем доходов муниципальных бюджетных и автономных учреждений, подведомственных данн</w:t>
      </w:r>
      <w:r w:rsidR="00191B53" w:rsidRPr="00C553E4">
        <w:t>о</w:t>
      </w:r>
      <w:r w:rsidRPr="00C553E4">
        <w:t>м</w:t>
      </w:r>
      <w:r w:rsidR="00191B53" w:rsidRPr="00C553E4">
        <w:t>у</w:t>
      </w:r>
      <w:r w:rsidRPr="00C553E4">
        <w:t xml:space="preserve"> Г</w:t>
      </w:r>
      <w:r w:rsidR="00191B53" w:rsidRPr="00C553E4">
        <w:t>РБС, от оказания платных услуг снизился</w:t>
      </w:r>
      <w:r w:rsidRPr="00C553E4">
        <w:t xml:space="preserve"> на </w:t>
      </w:r>
      <w:r w:rsidR="00191B53" w:rsidRPr="00C553E4">
        <w:t>14</w:t>
      </w:r>
      <w:r w:rsidRPr="00C553E4">
        <w:t>,</w:t>
      </w:r>
      <w:r w:rsidR="00191B53" w:rsidRPr="00C553E4">
        <w:t>0</w:t>
      </w:r>
      <w:r w:rsidR="009D58A8" w:rsidRPr="00C553E4">
        <w:t>%. Снижение показателя обусловлено тем, что платные услуги стали менее востребованы в МАДОУ «Детский сад «</w:t>
      </w:r>
      <w:proofErr w:type="spellStart"/>
      <w:r w:rsidR="009D58A8" w:rsidRPr="00C553E4">
        <w:t>Гусельки</w:t>
      </w:r>
      <w:proofErr w:type="spellEnd"/>
      <w:r w:rsidR="009D58A8" w:rsidRPr="00C553E4">
        <w:t xml:space="preserve">», МАДОУ «Детский сад «Золотой ключик», МБОУ «Лицей им. Г.Ф. </w:t>
      </w:r>
      <w:proofErr w:type="spellStart"/>
      <w:r w:rsidR="009D58A8" w:rsidRPr="00C553E4">
        <w:t>Атякшева</w:t>
      </w:r>
      <w:proofErr w:type="spellEnd"/>
      <w:r w:rsidR="009D58A8" w:rsidRPr="00C553E4">
        <w:t>»</w:t>
      </w:r>
      <w:r w:rsidR="00A25BA8" w:rsidRPr="00C553E4">
        <w:t>.</w:t>
      </w:r>
      <w:r w:rsidR="009D58A8" w:rsidRPr="00C553E4">
        <w:t xml:space="preserve"> </w:t>
      </w:r>
    </w:p>
    <w:p w:rsidR="004E2532" w:rsidRPr="00C553E4" w:rsidRDefault="00191B53" w:rsidP="00191B53">
      <w:pPr>
        <w:pStyle w:val="a3"/>
        <w:numPr>
          <w:ilvl w:val="0"/>
          <w:numId w:val="16"/>
        </w:numPr>
        <w:tabs>
          <w:tab w:val="left" w:pos="993"/>
        </w:tabs>
        <w:spacing w:line="240" w:lineRule="auto"/>
        <w:ind w:left="0" w:firstLine="709"/>
      </w:pPr>
      <w:r w:rsidRPr="00C553E4">
        <w:t xml:space="preserve">Управление социальной политики. </w:t>
      </w:r>
      <w:proofErr w:type="gramStart"/>
      <w:r w:rsidRPr="00C553E4">
        <w:t xml:space="preserve">Объем доходов муниципальных бюджетных и автономных учреждений, подведомственных данному ГРБС, от оказания платных услуг снизился на 49,0%. </w:t>
      </w:r>
      <w:r w:rsidR="009F261B" w:rsidRPr="00C553E4">
        <w:t xml:space="preserve">Снижение показателя обусловлено </w:t>
      </w:r>
      <w:r w:rsidR="008F5678">
        <w:t xml:space="preserve">отсутствием условий по оказанию </w:t>
      </w:r>
      <w:r w:rsidR="009F261B" w:rsidRPr="00C553E4">
        <w:t xml:space="preserve"> платны</w:t>
      </w:r>
      <w:r w:rsidR="008F5678">
        <w:t>х</w:t>
      </w:r>
      <w:r w:rsidR="009F261B" w:rsidRPr="00C553E4">
        <w:t xml:space="preserve"> услуг в учреждениях спорта.</w:t>
      </w:r>
      <w:proofErr w:type="gramEnd"/>
    </w:p>
    <w:p w:rsidR="00751FD4" w:rsidRPr="00C553E4" w:rsidRDefault="00751FD4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0 баллов набрали Управление культуры (объем доходов подведомственных учреждений от оказания платных услуг </w:t>
      </w:r>
      <w:r w:rsidR="00AD12AC" w:rsidRPr="00C553E4">
        <w:rPr>
          <w:rFonts w:ascii="Times New Roman" w:hAnsi="Times New Roman" w:cs="Times New Roman"/>
          <w:sz w:val="24"/>
          <w:szCs w:val="24"/>
        </w:rPr>
        <w:t>в 2016</w:t>
      </w:r>
      <w:r w:rsidRPr="00C553E4">
        <w:rPr>
          <w:rFonts w:ascii="Times New Roman" w:hAnsi="Times New Roman" w:cs="Times New Roman"/>
          <w:sz w:val="24"/>
          <w:szCs w:val="24"/>
        </w:rPr>
        <w:t xml:space="preserve"> г</w:t>
      </w:r>
      <w:r w:rsidR="00AD12AC" w:rsidRPr="00C553E4">
        <w:rPr>
          <w:rFonts w:ascii="Times New Roman" w:hAnsi="Times New Roman" w:cs="Times New Roman"/>
          <w:sz w:val="24"/>
          <w:szCs w:val="24"/>
        </w:rPr>
        <w:t>оду снизился по сравнению с 2015</w:t>
      </w:r>
      <w:r w:rsidRPr="00C553E4">
        <w:rPr>
          <w:rFonts w:ascii="Times New Roman" w:hAnsi="Times New Roman" w:cs="Times New Roman"/>
          <w:sz w:val="24"/>
          <w:szCs w:val="24"/>
        </w:rPr>
        <w:t xml:space="preserve"> годом) и Департамент муниципальной собственности и градостроительства (общий доход подведомственного учреждения от приносящей доход деятельности равен доходам от оказания платных услуг).</w:t>
      </w:r>
      <w:r w:rsidR="008F5678">
        <w:rPr>
          <w:rFonts w:ascii="Times New Roman" w:hAnsi="Times New Roman" w:cs="Times New Roman"/>
          <w:sz w:val="24"/>
          <w:szCs w:val="24"/>
        </w:rPr>
        <w:t xml:space="preserve"> Снижение объема доходов от оказания платных услуг по сравнению с 2015 годом по учреждениям культуры объясняется  исключением в 2016 году услуг по кинопрокату, в связи с открытием двух </w:t>
      </w:r>
      <w:proofErr w:type="spellStart"/>
      <w:r w:rsidR="008F5678">
        <w:rPr>
          <w:rFonts w:ascii="Times New Roman" w:hAnsi="Times New Roman" w:cs="Times New Roman"/>
          <w:sz w:val="24"/>
          <w:szCs w:val="24"/>
        </w:rPr>
        <w:t>кинотеаторов</w:t>
      </w:r>
      <w:proofErr w:type="spellEnd"/>
      <w:r w:rsidR="008F5678">
        <w:rPr>
          <w:rFonts w:ascii="Times New Roman" w:hAnsi="Times New Roman" w:cs="Times New Roman"/>
          <w:sz w:val="24"/>
          <w:szCs w:val="24"/>
        </w:rPr>
        <w:t xml:space="preserve"> в городе.</w:t>
      </w:r>
    </w:p>
    <w:p w:rsidR="00D8189C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1</w:t>
      </w:r>
      <w:r w:rsidR="00751FD4" w:rsidRPr="00C553E4">
        <w:rPr>
          <w:rFonts w:ascii="Times New Roman" w:hAnsi="Times New Roman" w:cs="Times New Roman"/>
          <w:sz w:val="24"/>
          <w:szCs w:val="24"/>
        </w:rPr>
        <w:t>3</w:t>
      </w:r>
      <w:r w:rsidRPr="00C553E4">
        <w:rPr>
          <w:rFonts w:ascii="Times New Roman" w:hAnsi="Times New Roman" w:cs="Times New Roman"/>
          <w:sz w:val="24"/>
          <w:szCs w:val="24"/>
        </w:rPr>
        <w:t>)  Показатель 2.1</w:t>
      </w:r>
      <w:r w:rsidR="00AD12AC" w:rsidRPr="00C553E4">
        <w:rPr>
          <w:rFonts w:ascii="Times New Roman" w:hAnsi="Times New Roman" w:cs="Times New Roman"/>
          <w:sz w:val="24"/>
          <w:szCs w:val="24"/>
        </w:rPr>
        <w:t>3.</w:t>
      </w:r>
      <w:r w:rsidRPr="00C553E4">
        <w:rPr>
          <w:rFonts w:ascii="Times New Roman" w:hAnsi="Times New Roman" w:cs="Times New Roman"/>
          <w:sz w:val="24"/>
          <w:szCs w:val="24"/>
        </w:rPr>
        <w:t xml:space="preserve"> «Процент исполнения доходов, </w:t>
      </w:r>
      <w:proofErr w:type="spellStart"/>
      <w:r w:rsidRPr="00C553E4"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 w:rsidRPr="00C553E4">
        <w:rPr>
          <w:rFonts w:ascii="Times New Roman" w:hAnsi="Times New Roman" w:cs="Times New Roman"/>
          <w:sz w:val="24"/>
          <w:szCs w:val="24"/>
        </w:rPr>
        <w:t xml:space="preserve"> ГАДБ».</w:t>
      </w:r>
    </w:p>
    <w:p w:rsidR="00D8189C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Показатель характеризует качество планирования и исполнение доходов, </w:t>
      </w:r>
      <w:proofErr w:type="spellStart"/>
      <w:r w:rsidRPr="00C553E4"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 w:rsidRPr="00C553E4">
        <w:rPr>
          <w:rFonts w:ascii="Times New Roman" w:hAnsi="Times New Roman" w:cs="Times New Roman"/>
          <w:sz w:val="24"/>
          <w:szCs w:val="24"/>
        </w:rPr>
        <w:t xml:space="preserve"> ГАДБ.</w:t>
      </w:r>
      <w:r w:rsidR="00BB373F" w:rsidRPr="00C553E4">
        <w:rPr>
          <w:rFonts w:ascii="Times New Roman" w:hAnsi="Times New Roman" w:cs="Times New Roman"/>
          <w:sz w:val="24"/>
          <w:szCs w:val="24"/>
        </w:rPr>
        <w:t xml:space="preserve"> Целевым ориентиром является значение показателя от 95% до 105%. </w:t>
      </w:r>
    </w:p>
    <w:p w:rsidR="00D8189C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>Показатель по Думе города Югорска, Управлени</w:t>
      </w:r>
      <w:r w:rsidR="00BB373F" w:rsidRPr="00C553E4">
        <w:rPr>
          <w:rFonts w:ascii="Times New Roman" w:hAnsi="Times New Roman" w:cs="Times New Roman"/>
          <w:sz w:val="24"/>
          <w:szCs w:val="24"/>
        </w:rPr>
        <w:t>ю</w:t>
      </w:r>
      <w:r w:rsidRPr="00C553E4">
        <w:rPr>
          <w:rFonts w:ascii="Times New Roman" w:hAnsi="Times New Roman" w:cs="Times New Roman"/>
          <w:sz w:val="24"/>
          <w:szCs w:val="24"/>
        </w:rPr>
        <w:t xml:space="preserve"> экономической политики, МКУ «Централизованная бухгалтерия», МКУ «Служба обеспечения органов местного самоуправления», Управлени</w:t>
      </w:r>
      <w:r w:rsidR="00BB373F" w:rsidRPr="00C553E4">
        <w:rPr>
          <w:rFonts w:ascii="Times New Roman" w:hAnsi="Times New Roman" w:cs="Times New Roman"/>
          <w:sz w:val="24"/>
          <w:szCs w:val="24"/>
        </w:rPr>
        <w:t>ю</w:t>
      </w:r>
      <w:r w:rsidRPr="00C553E4">
        <w:rPr>
          <w:rFonts w:ascii="Times New Roman" w:hAnsi="Times New Roman" w:cs="Times New Roman"/>
          <w:sz w:val="24"/>
          <w:szCs w:val="24"/>
        </w:rPr>
        <w:t xml:space="preserve"> образования, Управлени</w:t>
      </w:r>
      <w:r w:rsidR="00BB373F" w:rsidRPr="00C553E4">
        <w:rPr>
          <w:rFonts w:ascii="Times New Roman" w:hAnsi="Times New Roman" w:cs="Times New Roman"/>
          <w:sz w:val="24"/>
          <w:szCs w:val="24"/>
        </w:rPr>
        <w:t>ю</w:t>
      </w:r>
      <w:r w:rsidRPr="00C553E4">
        <w:rPr>
          <w:rFonts w:ascii="Times New Roman" w:hAnsi="Times New Roman" w:cs="Times New Roman"/>
          <w:sz w:val="24"/>
          <w:szCs w:val="24"/>
        </w:rPr>
        <w:t xml:space="preserve"> культуры, Управлени</w:t>
      </w:r>
      <w:r w:rsidR="00BB373F" w:rsidRPr="00C553E4">
        <w:rPr>
          <w:rFonts w:ascii="Times New Roman" w:hAnsi="Times New Roman" w:cs="Times New Roman"/>
          <w:sz w:val="24"/>
          <w:szCs w:val="24"/>
        </w:rPr>
        <w:t>ю</w:t>
      </w:r>
      <w:r w:rsidRPr="00C553E4">
        <w:rPr>
          <w:rFonts w:ascii="Times New Roman" w:hAnsi="Times New Roman" w:cs="Times New Roman"/>
          <w:sz w:val="24"/>
          <w:szCs w:val="24"/>
        </w:rPr>
        <w:t xml:space="preserve"> социальной политики, Департамент</w:t>
      </w:r>
      <w:r w:rsidR="00BB373F" w:rsidRPr="00C553E4">
        <w:rPr>
          <w:rFonts w:ascii="Times New Roman" w:hAnsi="Times New Roman" w:cs="Times New Roman"/>
          <w:sz w:val="24"/>
          <w:szCs w:val="24"/>
        </w:rPr>
        <w:t>у</w:t>
      </w:r>
      <w:r w:rsidRPr="00C553E4">
        <w:rPr>
          <w:rFonts w:ascii="Times New Roman" w:hAnsi="Times New Roman" w:cs="Times New Roman"/>
          <w:sz w:val="24"/>
          <w:szCs w:val="24"/>
        </w:rPr>
        <w:t xml:space="preserve"> жилищно-коммунального и строительного комплекса не оценивался.</w:t>
      </w:r>
    </w:p>
    <w:p w:rsidR="00BB373F" w:rsidRPr="00C553E4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Показатель </w:t>
      </w:r>
      <w:r w:rsidR="00BB373F" w:rsidRPr="00C553E4">
        <w:rPr>
          <w:rFonts w:ascii="Times New Roman" w:hAnsi="Times New Roman" w:cs="Times New Roman"/>
          <w:sz w:val="24"/>
          <w:szCs w:val="24"/>
        </w:rPr>
        <w:t>оценен на 100,0 баллов по</w:t>
      </w:r>
      <w:r w:rsidRPr="00C553E4">
        <w:rPr>
          <w:rFonts w:ascii="Times New Roman" w:hAnsi="Times New Roman" w:cs="Times New Roman"/>
          <w:sz w:val="24"/>
          <w:szCs w:val="24"/>
        </w:rPr>
        <w:t xml:space="preserve"> </w:t>
      </w:r>
      <w:r w:rsidR="00BB373F" w:rsidRPr="00C553E4">
        <w:rPr>
          <w:rFonts w:ascii="Times New Roman" w:hAnsi="Times New Roman" w:cs="Times New Roman"/>
          <w:sz w:val="24"/>
          <w:szCs w:val="24"/>
        </w:rPr>
        <w:t>Администрации города Югорска</w:t>
      </w:r>
      <w:r w:rsidR="009D58A8" w:rsidRPr="00C553E4">
        <w:rPr>
          <w:rFonts w:ascii="Times New Roman" w:hAnsi="Times New Roman" w:cs="Times New Roman"/>
          <w:sz w:val="24"/>
          <w:szCs w:val="24"/>
        </w:rPr>
        <w:t>,</w:t>
      </w:r>
      <w:r w:rsidR="00BB373F" w:rsidRPr="00C553E4">
        <w:rPr>
          <w:rFonts w:ascii="Times New Roman" w:hAnsi="Times New Roman" w:cs="Times New Roman"/>
          <w:sz w:val="24"/>
          <w:szCs w:val="24"/>
        </w:rPr>
        <w:t xml:space="preserve"> </w:t>
      </w:r>
      <w:r w:rsidR="009D58A8" w:rsidRPr="00C553E4">
        <w:rPr>
          <w:rFonts w:ascii="Times New Roman" w:hAnsi="Times New Roman" w:cs="Times New Roman"/>
          <w:sz w:val="24"/>
          <w:szCs w:val="24"/>
        </w:rPr>
        <w:t xml:space="preserve">Департаменту финансов, Департамент муниципальной собственности и градостроительства </w:t>
      </w:r>
      <w:r w:rsidR="00BB373F" w:rsidRPr="00C553E4">
        <w:rPr>
          <w:rFonts w:ascii="Times New Roman" w:hAnsi="Times New Roman" w:cs="Times New Roman"/>
          <w:sz w:val="24"/>
          <w:szCs w:val="24"/>
        </w:rPr>
        <w:t xml:space="preserve">(процент исполнения доходов, </w:t>
      </w:r>
      <w:proofErr w:type="spellStart"/>
      <w:r w:rsidR="00BB373F" w:rsidRPr="00C553E4">
        <w:rPr>
          <w:rFonts w:ascii="Times New Roman" w:hAnsi="Times New Roman" w:cs="Times New Roman"/>
          <w:sz w:val="24"/>
          <w:szCs w:val="24"/>
        </w:rPr>
        <w:t>администрируемых</w:t>
      </w:r>
      <w:proofErr w:type="spellEnd"/>
      <w:r w:rsidR="00BB373F" w:rsidRPr="00C553E4">
        <w:rPr>
          <w:rFonts w:ascii="Times New Roman" w:hAnsi="Times New Roman" w:cs="Times New Roman"/>
          <w:sz w:val="24"/>
          <w:szCs w:val="24"/>
        </w:rPr>
        <w:t xml:space="preserve"> Г</w:t>
      </w:r>
      <w:r w:rsidR="009D58A8" w:rsidRPr="00C553E4">
        <w:rPr>
          <w:rFonts w:ascii="Times New Roman" w:hAnsi="Times New Roman" w:cs="Times New Roman"/>
          <w:sz w:val="24"/>
          <w:szCs w:val="24"/>
        </w:rPr>
        <w:t>АДБ, составил 100,0% от плана)</w:t>
      </w:r>
      <w:r w:rsidR="00BB373F" w:rsidRPr="00C553E4">
        <w:rPr>
          <w:rFonts w:ascii="Times New Roman" w:hAnsi="Times New Roman" w:cs="Times New Roman"/>
          <w:sz w:val="24"/>
          <w:szCs w:val="24"/>
        </w:rPr>
        <w:t>.</w:t>
      </w:r>
    </w:p>
    <w:p w:rsidR="00BB373F" w:rsidRPr="00C553E4" w:rsidRDefault="00BB373F" w:rsidP="00BB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53E4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9D58A8" w:rsidRPr="00C553E4">
        <w:rPr>
          <w:rFonts w:ascii="Times New Roman" w:hAnsi="Times New Roman" w:cs="Times New Roman"/>
          <w:sz w:val="24"/>
          <w:szCs w:val="24"/>
        </w:rPr>
        <w:t>10</w:t>
      </w:r>
      <w:r w:rsidRPr="00C553E4">
        <w:rPr>
          <w:rFonts w:ascii="Times New Roman" w:hAnsi="Times New Roman" w:cs="Times New Roman"/>
          <w:sz w:val="24"/>
          <w:szCs w:val="24"/>
        </w:rPr>
        <w:t xml:space="preserve">0,0 баллов, что </w:t>
      </w:r>
      <w:r w:rsidR="009D58A8" w:rsidRPr="00C553E4">
        <w:rPr>
          <w:rFonts w:ascii="Times New Roman" w:hAnsi="Times New Roman" w:cs="Times New Roman"/>
          <w:sz w:val="24"/>
          <w:szCs w:val="24"/>
        </w:rPr>
        <w:t>выше</w:t>
      </w:r>
      <w:r w:rsidRPr="00C553E4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E42F53" w:rsidRPr="00C553E4">
        <w:rPr>
          <w:rFonts w:ascii="Times New Roman" w:hAnsi="Times New Roman" w:cs="Times New Roman"/>
          <w:sz w:val="24"/>
          <w:szCs w:val="24"/>
        </w:rPr>
        <w:t>5</w:t>
      </w:r>
      <w:r w:rsidRPr="00C553E4">
        <w:rPr>
          <w:rFonts w:ascii="Times New Roman" w:hAnsi="Times New Roman" w:cs="Times New Roman"/>
          <w:sz w:val="24"/>
          <w:szCs w:val="24"/>
        </w:rPr>
        <w:t xml:space="preserve"> год на 10,0 баллов (в 201</w:t>
      </w:r>
      <w:r w:rsidR="00E42F53" w:rsidRPr="00C553E4">
        <w:rPr>
          <w:rFonts w:ascii="Times New Roman" w:hAnsi="Times New Roman" w:cs="Times New Roman"/>
          <w:sz w:val="24"/>
          <w:szCs w:val="24"/>
        </w:rPr>
        <w:t>5</w:t>
      </w:r>
      <w:r w:rsidRPr="00C553E4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E42F53" w:rsidRPr="00C553E4">
        <w:rPr>
          <w:rFonts w:ascii="Times New Roman" w:hAnsi="Times New Roman" w:cs="Times New Roman"/>
          <w:sz w:val="24"/>
          <w:szCs w:val="24"/>
        </w:rPr>
        <w:t>9</w:t>
      </w:r>
      <w:r w:rsidRPr="00C553E4">
        <w:rPr>
          <w:rFonts w:ascii="Times New Roman" w:hAnsi="Times New Roman" w:cs="Times New Roman"/>
          <w:sz w:val="24"/>
          <w:szCs w:val="24"/>
        </w:rPr>
        <w:t>0,0 баллов).</w:t>
      </w:r>
    </w:p>
    <w:p w:rsidR="00D8189C" w:rsidRPr="001D6ED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>1</w:t>
      </w:r>
      <w:r w:rsidR="00BB373F" w:rsidRPr="001D6EDC">
        <w:rPr>
          <w:rFonts w:ascii="Times New Roman" w:hAnsi="Times New Roman" w:cs="Times New Roman"/>
          <w:sz w:val="24"/>
          <w:szCs w:val="24"/>
        </w:rPr>
        <w:t>4</w:t>
      </w:r>
      <w:r w:rsidR="00E42F53" w:rsidRPr="001D6EDC">
        <w:rPr>
          <w:rFonts w:ascii="Times New Roman" w:hAnsi="Times New Roman" w:cs="Times New Roman"/>
          <w:sz w:val="24"/>
          <w:szCs w:val="24"/>
        </w:rPr>
        <w:t>) Показатель 2.14.</w:t>
      </w:r>
      <w:r w:rsidRPr="001D6EDC">
        <w:rPr>
          <w:rFonts w:ascii="Times New Roman" w:hAnsi="Times New Roman" w:cs="Times New Roman"/>
          <w:sz w:val="24"/>
          <w:szCs w:val="24"/>
        </w:rPr>
        <w:t xml:space="preserve"> «Доля дебиторской задолженности по доходам ГАДБ без учета безвозмездных поступлений  в общем объёме доходов».</w:t>
      </w:r>
    </w:p>
    <w:p w:rsidR="00D8189C" w:rsidRPr="001D6ED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>Показатель характеризует наличие/отсутствие значительного объёма дебиторской задолженности по доходам без учета безвозмездных поступлений.</w:t>
      </w:r>
      <w:r w:rsidR="00BB373F" w:rsidRPr="001D6EDC">
        <w:rPr>
          <w:rFonts w:ascii="Times New Roman" w:hAnsi="Times New Roman" w:cs="Times New Roman"/>
          <w:sz w:val="24"/>
          <w:szCs w:val="24"/>
        </w:rPr>
        <w:t xml:space="preserve"> Целевым ориентиром является значение показателя, равное или менее 5%.</w:t>
      </w:r>
    </w:p>
    <w:p w:rsidR="00BB373F" w:rsidRPr="001D6EDC" w:rsidRDefault="00BB373F" w:rsidP="00BB37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>Показатель по Думе города Югорска, Управлению экономической политики, МКУ «Централизованная бухгалтерия», МКУ «Служба обеспечения органов местного самоуправления» не оценивался.</w:t>
      </w:r>
    </w:p>
    <w:p w:rsidR="00D8189C" w:rsidRPr="001D6ED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lastRenderedPageBreak/>
        <w:t>Значение показателя 0 баллов составило по Департаменту муниципальной собственности и градостроительства. Дебиторская задолженность по доходам составила 1</w:t>
      </w:r>
      <w:r w:rsidR="00BB373F" w:rsidRPr="001D6EDC">
        <w:rPr>
          <w:rFonts w:ascii="Times New Roman" w:hAnsi="Times New Roman" w:cs="Times New Roman"/>
          <w:sz w:val="24"/>
          <w:szCs w:val="24"/>
        </w:rPr>
        <w:t>0</w:t>
      </w:r>
      <w:r w:rsidR="00A25BA8" w:rsidRPr="001D6EDC">
        <w:rPr>
          <w:rFonts w:ascii="Times New Roman" w:hAnsi="Times New Roman" w:cs="Times New Roman"/>
          <w:sz w:val="24"/>
          <w:szCs w:val="24"/>
        </w:rPr>
        <w:t>7</w:t>
      </w:r>
      <w:r w:rsidR="00BB373F" w:rsidRPr="001D6EDC">
        <w:rPr>
          <w:rFonts w:ascii="Times New Roman" w:hAnsi="Times New Roman" w:cs="Times New Roman"/>
          <w:sz w:val="24"/>
          <w:szCs w:val="24"/>
        </w:rPr>
        <w:t>,</w:t>
      </w:r>
      <w:r w:rsidR="00A25BA8" w:rsidRPr="001D6EDC">
        <w:rPr>
          <w:rFonts w:ascii="Times New Roman" w:hAnsi="Times New Roman" w:cs="Times New Roman"/>
          <w:sz w:val="24"/>
          <w:szCs w:val="24"/>
        </w:rPr>
        <w:t>5</w:t>
      </w:r>
      <w:r w:rsidRPr="001D6EDC">
        <w:rPr>
          <w:rFonts w:ascii="Times New Roman" w:hAnsi="Times New Roman" w:cs="Times New Roman"/>
          <w:sz w:val="24"/>
          <w:szCs w:val="24"/>
        </w:rPr>
        <w:t xml:space="preserve">% от общего объема доходов в отчетном периоде. </w:t>
      </w:r>
    </w:p>
    <w:p w:rsidR="00D8189C" w:rsidRPr="001D6ED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 xml:space="preserve">Показатель по иным </w:t>
      </w:r>
      <w:r w:rsidR="00BB373F" w:rsidRPr="001D6EDC">
        <w:rPr>
          <w:rFonts w:ascii="Times New Roman" w:hAnsi="Times New Roman" w:cs="Times New Roman"/>
          <w:sz w:val="24"/>
          <w:szCs w:val="24"/>
        </w:rPr>
        <w:t xml:space="preserve">оцениваемым </w:t>
      </w:r>
      <w:r w:rsidRPr="001D6EDC">
        <w:rPr>
          <w:rFonts w:ascii="Times New Roman" w:hAnsi="Times New Roman" w:cs="Times New Roman"/>
          <w:sz w:val="24"/>
          <w:szCs w:val="24"/>
        </w:rPr>
        <w:t xml:space="preserve">ГАБС </w:t>
      </w:r>
      <w:r w:rsidR="00BB373F" w:rsidRPr="001D6EDC">
        <w:rPr>
          <w:rFonts w:ascii="Times New Roman" w:hAnsi="Times New Roman" w:cs="Times New Roman"/>
          <w:sz w:val="24"/>
          <w:szCs w:val="24"/>
        </w:rPr>
        <w:t>составил</w:t>
      </w:r>
      <w:r w:rsidRPr="001D6EDC">
        <w:rPr>
          <w:rFonts w:ascii="Times New Roman" w:hAnsi="Times New Roman" w:cs="Times New Roman"/>
          <w:sz w:val="24"/>
          <w:szCs w:val="24"/>
        </w:rPr>
        <w:t xml:space="preserve"> 100,0 баллов. Дебиторская задолженность по доходам ГАДБ без учета безвозмездных поступлений </w:t>
      </w:r>
      <w:r w:rsidR="008A02B0" w:rsidRPr="001D6EDC">
        <w:rPr>
          <w:rFonts w:ascii="Times New Roman" w:hAnsi="Times New Roman" w:cs="Times New Roman"/>
          <w:sz w:val="24"/>
          <w:szCs w:val="24"/>
        </w:rPr>
        <w:t xml:space="preserve">на конец отчетного периода </w:t>
      </w:r>
      <w:r w:rsidRPr="001D6EDC">
        <w:rPr>
          <w:rFonts w:ascii="Times New Roman" w:hAnsi="Times New Roman" w:cs="Times New Roman"/>
          <w:sz w:val="24"/>
          <w:szCs w:val="24"/>
        </w:rPr>
        <w:t>в общем объёме доходов отсутствует.</w:t>
      </w:r>
    </w:p>
    <w:p w:rsidR="008A02B0" w:rsidRPr="001D6EDC" w:rsidRDefault="008A02B0" w:rsidP="008A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 85,7 баллов (в 201</w:t>
      </w:r>
      <w:r w:rsidR="00A57204" w:rsidRPr="001D6EDC">
        <w:rPr>
          <w:rFonts w:ascii="Times New Roman" w:hAnsi="Times New Roman" w:cs="Times New Roman"/>
          <w:sz w:val="24"/>
          <w:szCs w:val="24"/>
        </w:rPr>
        <w:t>5</w:t>
      </w:r>
      <w:r w:rsidRPr="001D6ED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также 85,7 баллов).</w:t>
      </w:r>
    </w:p>
    <w:p w:rsidR="00D8189C" w:rsidRPr="001D6ED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>1</w:t>
      </w:r>
      <w:r w:rsidR="008A02B0" w:rsidRPr="001D6EDC">
        <w:rPr>
          <w:rFonts w:ascii="Times New Roman" w:hAnsi="Times New Roman" w:cs="Times New Roman"/>
          <w:sz w:val="24"/>
          <w:szCs w:val="24"/>
        </w:rPr>
        <w:t>5</w:t>
      </w:r>
      <w:r w:rsidRPr="001D6EDC">
        <w:rPr>
          <w:rFonts w:ascii="Times New Roman" w:hAnsi="Times New Roman" w:cs="Times New Roman"/>
          <w:sz w:val="24"/>
          <w:szCs w:val="24"/>
        </w:rPr>
        <w:t>) Показатель 2.1</w:t>
      </w:r>
      <w:r w:rsidR="00A57204" w:rsidRPr="001D6EDC">
        <w:rPr>
          <w:rFonts w:ascii="Times New Roman" w:hAnsi="Times New Roman" w:cs="Times New Roman"/>
          <w:sz w:val="24"/>
          <w:szCs w:val="24"/>
        </w:rPr>
        <w:t>5.</w:t>
      </w:r>
      <w:r w:rsidRPr="001D6EDC">
        <w:rPr>
          <w:rFonts w:ascii="Times New Roman" w:hAnsi="Times New Roman" w:cs="Times New Roman"/>
          <w:sz w:val="24"/>
          <w:szCs w:val="24"/>
        </w:rPr>
        <w:t xml:space="preserve"> «Доля дебиторской задолженности по расходам в общем объёме расходов».</w:t>
      </w:r>
    </w:p>
    <w:p w:rsidR="008A02B0" w:rsidRPr="001D6EDC" w:rsidRDefault="00D8189C" w:rsidP="008A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>Показатель характеризует наличие/отсутствие значительного объёма дебиторской задолженности по расходам.</w:t>
      </w:r>
      <w:r w:rsidR="008A02B0" w:rsidRPr="001D6EDC">
        <w:rPr>
          <w:rFonts w:ascii="Times New Roman" w:hAnsi="Times New Roman" w:cs="Times New Roman"/>
          <w:sz w:val="24"/>
          <w:szCs w:val="24"/>
        </w:rPr>
        <w:t xml:space="preserve"> Целевым ориентиром является значение показателя, равное или менее 5%.</w:t>
      </w:r>
    </w:p>
    <w:p w:rsidR="00D8189C" w:rsidRPr="001D6EDC" w:rsidRDefault="00D8189C" w:rsidP="008A02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>Показатель по всем  ГАБС оценен на 100,0 баллов.</w:t>
      </w:r>
    </w:p>
    <w:p w:rsidR="00D8189C" w:rsidRPr="001D6EDC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 xml:space="preserve">По </w:t>
      </w:r>
      <w:r w:rsidR="00605BCE" w:rsidRPr="001D6EDC">
        <w:rPr>
          <w:rFonts w:ascii="Times New Roman" w:hAnsi="Times New Roman" w:cs="Times New Roman"/>
          <w:sz w:val="24"/>
          <w:szCs w:val="24"/>
        </w:rPr>
        <w:t xml:space="preserve">Администрации города Югорска, </w:t>
      </w:r>
      <w:r w:rsidR="008A02B0" w:rsidRPr="001D6EDC">
        <w:rPr>
          <w:rFonts w:ascii="Times New Roman" w:hAnsi="Times New Roman" w:cs="Times New Roman"/>
          <w:sz w:val="24"/>
          <w:szCs w:val="24"/>
        </w:rPr>
        <w:t>Департаменту жилищно-коммунального и строительного комплекса</w:t>
      </w:r>
      <w:r w:rsidRPr="001D6EDC">
        <w:rPr>
          <w:rFonts w:ascii="Times New Roman" w:hAnsi="Times New Roman" w:cs="Times New Roman"/>
          <w:sz w:val="24"/>
          <w:szCs w:val="24"/>
        </w:rPr>
        <w:t xml:space="preserve">, МКУ «Централизованная бухгалтерия», </w:t>
      </w:r>
      <w:r w:rsidR="008A02B0" w:rsidRPr="001D6EDC">
        <w:rPr>
          <w:rFonts w:ascii="Times New Roman" w:hAnsi="Times New Roman" w:cs="Times New Roman"/>
          <w:sz w:val="24"/>
          <w:szCs w:val="24"/>
        </w:rPr>
        <w:t>Думе города, Управлению</w:t>
      </w:r>
      <w:r w:rsidRPr="001D6EDC">
        <w:rPr>
          <w:rFonts w:ascii="Times New Roman" w:hAnsi="Times New Roman" w:cs="Times New Roman"/>
          <w:sz w:val="24"/>
          <w:szCs w:val="24"/>
        </w:rPr>
        <w:t xml:space="preserve"> образования, Управлени</w:t>
      </w:r>
      <w:r w:rsidR="008A02B0" w:rsidRPr="001D6EDC">
        <w:rPr>
          <w:rFonts w:ascii="Times New Roman" w:hAnsi="Times New Roman" w:cs="Times New Roman"/>
          <w:sz w:val="24"/>
          <w:szCs w:val="24"/>
        </w:rPr>
        <w:t>ю</w:t>
      </w:r>
      <w:r w:rsidRPr="001D6EDC">
        <w:rPr>
          <w:rFonts w:ascii="Times New Roman" w:hAnsi="Times New Roman" w:cs="Times New Roman"/>
          <w:sz w:val="24"/>
          <w:szCs w:val="24"/>
        </w:rPr>
        <w:t xml:space="preserve"> культуры, Управлени</w:t>
      </w:r>
      <w:r w:rsidR="008A02B0" w:rsidRPr="001D6EDC">
        <w:rPr>
          <w:rFonts w:ascii="Times New Roman" w:hAnsi="Times New Roman" w:cs="Times New Roman"/>
          <w:sz w:val="24"/>
          <w:szCs w:val="24"/>
        </w:rPr>
        <w:t>ю</w:t>
      </w:r>
      <w:r w:rsidRPr="001D6EDC">
        <w:rPr>
          <w:rFonts w:ascii="Times New Roman" w:hAnsi="Times New Roman" w:cs="Times New Roman"/>
          <w:sz w:val="24"/>
          <w:szCs w:val="24"/>
        </w:rPr>
        <w:t xml:space="preserve"> социальной политики</w:t>
      </w:r>
      <w:r w:rsidR="00605BCE" w:rsidRPr="001D6EDC">
        <w:rPr>
          <w:rFonts w:ascii="Times New Roman" w:hAnsi="Times New Roman" w:cs="Times New Roman"/>
          <w:sz w:val="24"/>
          <w:szCs w:val="24"/>
        </w:rPr>
        <w:t xml:space="preserve">, МКУ «Служба обеспечения органов местного самоуправления» </w:t>
      </w:r>
      <w:r w:rsidR="008A02B0" w:rsidRPr="001D6EDC">
        <w:rPr>
          <w:rFonts w:ascii="Times New Roman" w:hAnsi="Times New Roman" w:cs="Times New Roman"/>
          <w:sz w:val="24"/>
          <w:szCs w:val="24"/>
        </w:rPr>
        <w:t>доля</w:t>
      </w:r>
      <w:r w:rsidRPr="001D6EDC">
        <w:rPr>
          <w:rFonts w:ascii="Times New Roman" w:hAnsi="Times New Roman" w:cs="Times New Roman"/>
          <w:sz w:val="24"/>
          <w:szCs w:val="24"/>
        </w:rPr>
        <w:t xml:space="preserve"> </w:t>
      </w:r>
      <w:r w:rsidR="008A02B0" w:rsidRPr="001D6EDC">
        <w:rPr>
          <w:rFonts w:ascii="Times New Roman" w:hAnsi="Times New Roman" w:cs="Times New Roman"/>
          <w:sz w:val="24"/>
          <w:szCs w:val="24"/>
        </w:rPr>
        <w:t>дебиторской задолженности в общем объеме расходов составляет 0%, п</w:t>
      </w:r>
      <w:r w:rsidRPr="001D6EDC">
        <w:rPr>
          <w:rFonts w:ascii="Times New Roman" w:hAnsi="Times New Roman" w:cs="Times New Roman"/>
          <w:sz w:val="24"/>
          <w:szCs w:val="24"/>
        </w:rPr>
        <w:t xml:space="preserve">о </w:t>
      </w:r>
      <w:r w:rsidR="008A02B0" w:rsidRPr="001D6EDC">
        <w:rPr>
          <w:rFonts w:ascii="Times New Roman" w:hAnsi="Times New Roman" w:cs="Times New Roman"/>
          <w:sz w:val="24"/>
          <w:szCs w:val="24"/>
        </w:rPr>
        <w:t xml:space="preserve">остальным оцениваемым </w:t>
      </w:r>
      <w:r w:rsidRPr="001D6EDC">
        <w:rPr>
          <w:rFonts w:ascii="Times New Roman" w:hAnsi="Times New Roman" w:cs="Times New Roman"/>
          <w:sz w:val="24"/>
          <w:szCs w:val="24"/>
        </w:rPr>
        <w:t>ГАБС</w:t>
      </w:r>
      <w:r w:rsidR="008A02B0" w:rsidRPr="001D6EDC">
        <w:rPr>
          <w:rFonts w:ascii="Times New Roman" w:hAnsi="Times New Roman" w:cs="Times New Roman"/>
          <w:sz w:val="24"/>
          <w:szCs w:val="24"/>
        </w:rPr>
        <w:t xml:space="preserve"> – от 0,1 до </w:t>
      </w:r>
      <w:r w:rsidR="00605BCE" w:rsidRPr="001D6EDC">
        <w:rPr>
          <w:rFonts w:ascii="Times New Roman" w:hAnsi="Times New Roman" w:cs="Times New Roman"/>
          <w:sz w:val="24"/>
          <w:szCs w:val="24"/>
        </w:rPr>
        <w:t>3</w:t>
      </w:r>
      <w:r w:rsidR="008A02B0" w:rsidRPr="001D6EDC">
        <w:rPr>
          <w:rFonts w:ascii="Times New Roman" w:hAnsi="Times New Roman" w:cs="Times New Roman"/>
          <w:sz w:val="24"/>
          <w:szCs w:val="24"/>
        </w:rPr>
        <w:t>,</w:t>
      </w:r>
      <w:r w:rsidR="00605BCE" w:rsidRPr="001D6EDC">
        <w:rPr>
          <w:rFonts w:ascii="Times New Roman" w:hAnsi="Times New Roman" w:cs="Times New Roman"/>
          <w:sz w:val="24"/>
          <w:szCs w:val="24"/>
        </w:rPr>
        <w:t>1</w:t>
      </w:r>
      <w:r w:rsidR="008A02B0" w:rsidRPr="001D6EDC">
        <w:rPr>
          <w:rFonts w:ascii="Times New Roman" w:hAnsi="Times New Roman" w:cs="Times New Roman"/>
          <w:sz w:val="24"/>
          <w:szCs w:val="24"/>
        </w:rPr>
        <w:t>%</w:t>
      </w:r>
      <w:r w:rsidRPr="001D6E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02B0" w:rsidRPr="001D6EDC" w:rsidRDefault="008A02B0" w:rsidP="008A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D6EDC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 100,0 баллов</w:t>
      </w:r>
      <w:r w:rsidR="00605BCE" w:rsidRPr="001D6EDC">
        <w:rPr>
          <w:rFonts w:ascii="Times New Roman" w:hAnsi="Times New Roman" w:cs="Times New Roman"/>
          <w:sz w:val="24"/>
          <w:szCs w:val="24"/>
        </w:rPr>
        <w:t xml:space="preserve"> </w:t>
      </w:r>
      <w:r w:rsidRPr="001D6EDC">
        <w:rPr>
          <w:rFonts w:ascii="Times New Roman" w:hAnsi="Times New Roman" w:cs="Times New Roman"/>
          <w:sz w:val="24"/>
          <w:szCs w:val="24"/>
        </w:rPr>
        <w:t>(в 201</w:t>
      </w:r>
      <w:r w:rsidR="00BB5CE6" w:rsidRPr="001D6EDC">
        <w:rPr>
          <w:rFonts w:ascii="Times New Roman" w:hAnsi="Times New Roman" w:cs="Times New Roman"/>
          <w:sz w:val="24"/>
          <w:szCs w:val="24"/>
        </w:rPr>
        <w:t>5</w:t>
      </w:r>
      <w:r w:rsidRPr="001D6EDC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</w:t>
      </w:r>
      <w:r w:rsidR="00BB5CE6" w:rsidRPr="001D6EDC">
        <w:rPr>
          <w:rFonts w:ascii="Times New Roman" w:hAnsi="Times New Roman" w:cs="Times New Roman"/>
          <w:sz w:val="24"/>
          <w:szCs w:val="24"/>
        </w:rPr>
        <w:t xml:space="preserve">данному показателю составляла </w:t>
      </w:r>
      <w:r w:rsidR="00024033" w:rsidRPr="001D6EDC">
        <w:rPr>
          <w:rFonts w:ascii="Times New Roman" w:hAnsi="Times New Roman" w:cs="Times New Roman"/>
          <w:sz w:val="24"/>
          <w:szCs w:val="24"/>
        </w:rPr>
        <w:t xml:space="preserve">также </w:t>
      </w:r>
      <w:r w:rsidRPr="001D6EDC">
        <w:rPr>
          <w:rFonts w:ascii="Times New Roman" w:hAnsi="Times New Roman" w:cs="Times New Roman"/>
          <w:sz w:val="24"/>
          <w:szCs w:val="24"/>
        </w:rPr>
        <w:t>1</w:t>
      </w:r>
      <w:r w:rsidR="00BB5CE6" w:rsidRPr="001D6EDC">
        <w:rPr>
          <w:rFonts w:ascii="Times New Roman" w:hAnsi="Times New Roman" w:cs="Times New Roman"/>
          <w:sz w:val="24"/>
          <w:szCs w:val="24"/>
        </w:rPr>
        <w:t>00</w:t>
      </w:r>
      <w:r w:rsidRPr="001D6EDC">
        <w:rPr>
          <w:rFonts w:ascii="Times New Roman" w:hAnsi="Times New Roman" w:cs="Times New Roman"/>
          <w:sz w:val="24"/>
          <w:szCs w:val="24"/>
        </w:rPr>
        <w:t>,0 балл</w:t>
      </w:r>
      <w:r w:rsidR="00024033" w:rsidRPr="001D6EDC">
        <w:rPr>
          <w:rFonts w:ascii="Times New Roman" w:hAnsi="Times New Roman" w:cs="Times New Roman"/>
          <w:sz w:val="24"/>
          <w:szCs w:val="24"/>
        </w:rPr>
        <w:t>ов</w:t>
      </w:r>
      <w:r w:rsidRPr="001D6EDC">
        <w:rPr>
          <w:rFonts w:ascii="Times New Roman" w:hAnsi="Times New Roman" w:cs="Times New Roman"/>
          <w:sz w:val="24"/>
          <w:szCs w:val="24"/>
        </w:rPr>
        <w:t>).</w:t>
      </w:r>
    </w:p>
    <w:p w:rsidR="00D8189C" w:rsidRPr="00EC5DF9" w:rsidRDefault="00D8189C" w:rsidP="00F30D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DF9">
        <w:rPr>
          <w:rFonts w:ascii="Times New Roman" w:hAnsi="Times New Roman" w:cs="Times New Roman"/>
          <w:sz w:val="24"/>
          <w:szCs w:val="24"/>
        </w:rPr>
        <w:t>1</w:t>
      </w:r>
      <w:r w:rsidR="008A02B0" w:rsidRPr="00EC5DF9">
        <w:rPr>
          <w:rFonts w:ascii="Times New Roman" w:hAnsi="Times New Roman" w:cs="Times New Roman"/>
          <w:sz w:val="24"/>
          <w:szCs w:val="24"/>
        </w:rPr>
        <w:t>6</w:t>
      </w:r>
      <w:r w:rsidRPr="00EC5DF9">
        <w:rPr>
          <w:rFonts w:ascii="Times New Roman" w:hAnsi="Times New Roman" w:cs="Times New Roman"/>
          <w:sz w:val="24"/>
          <w:szCs w:val="24"/>
        </w:rPr>
        <w:t>) Показатель 2.1</w:t>
      </w:r>
      <w:r w:rsidR="00BB5CE6" w:rsidRPr="00EC5DF9">
        <w:rPr>
          <w:rFonts w:ascii="Times New Roman" w:hAnsi="Times New Roman" w:cs="Times New Roman"/>
          <w:sz w:val="24"/>
          <w:szCs w:val="24"/>
        </w:rPr>
        <w:t>6.</w:t>
      </w:r>
      <w:r w:rsidRPr="00EC5DF9">
        <w:rPr>
          <w:rFonts w:ascii="Times New Roman" w:hAnsi="Times New Roman" w:cs="Times New Roman"/>
          <w:sz w:val="24"/>
          <w:szCs w:val="24"/>
        </w:rPr>
        <w:t xml:space="preserve"> «Доля кредиторской задолженности по расходам в общем объёме расходов».</w:t>
      </w:r>
    </w:p>
    <w:p w:rsidR="008A02B0" w:rsidRPr="00EC5DF9" w:rsidRDefault="00D8189C" w:rsidP="008A02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DF9">
        <w:rPr>
          <w:rFonts w:ascii="Times New Roman" w:hAnsi="Times New Roman" w:cs="Times New Roman"/>
          <w:sz w:val="24"/>
          <w:szCs w:val="24"/>
        </w:rPr>
        <w:t>Показатель характеризует наличие/отсутствие значительного объёма кредиторской задолженности по расходам.</w:t>
      </w:r>
      <w:r w:rsidR="008A02B0" w:rsidRPr="00EC5DF9">
        <w:rPr>
          <w:rFonts w:ascii="Times New Roman" w:hAnsi="Times New Roman" w:cs="Times New Roman"/>
          <w:sz w:val="24"/>
          <w:szCs w:val="24"/>
        </w:rPr>
        <w:t xml:space="preserve"> Целевым ориентиром является значение показателя, равное 0%.</w:t>
      </w:r>
    </w:p>
    <w:p w:rsidR="00345978" w:rsidRPr="00EC5DF9" w:rsidRDefault="00D8189C" w:rsidP="00C262C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DF9">
        <w:rPr>
          <w:rFonts w:ascii="Times New Roman" w:hAnsi="Times New Roman" w:cs="Times New Roman"/>
          <w:sz w:val="24"/>
          <w:szCs w:val="24"/>
        </w:rPr>
        <w:t xml:space="preserve">Значение показателя 100,0 баллов составило по </w:t>
      </w:r>
      <w:r w:rsidR="00C262CC" w:rsidRPr="00EC5DF9">
        <w:rPr>
          <w:rFonts w:ascii="Times New Roman" w:hAnsi="Times New Roman" w:cs="Times New Roman"/>
          <w:sz w:val="24"/>
          <w:szCs w:val="24"/>
        </w:rPr>
        <w:t>Управлению экономической политики, Управлению социальной политики, Департаменту муниципальной собственности и градостроительства, МКУ «</w:t>
      </w:r>
      <w:r w:rsidR="00024033" w:rsidRPr="00EC5DF9">
        <w:rPr>
          <w:rFonts w:ascii="Times New Roman" w:hAnsi="Times New Roman" w:cs="Times New Roman"/>
          <w:sz w:val="24"/>
          <w:szCs w:val="24"/>
        </w:rPr>
        <w:t>Служба обеспечения органов местного самоуправления</w:t>
      </w:r>
      <w:r w:rsidR="00C262CC" w:rsidRPr="00EC5DF9">
        <w:rPr>
          <w:rFonts w:ascii="Times New Roman" w:hAnsi="Times New Roman" w:cs="Times New Roman"/>
          <w:sz w:val="24"/>
          <w:szCs w:val="24"/>
        </w:rPr>
        <w:t>»</w:t>
      </w:r>
      <w:r w:rsidR="00024033" w:rsidRPr="00EC5DF9">
        <w:rPr>
          <w:rFonts w:ascii="Times New Roman" w:hAnsi="Times New Roman" w:cs="Times New Roman"/>
          <w:sz w:val="24"/>
          <w:szCs w:val="24"/>
        </w:rPr>
        <w:t>, Управлению культуры</w:t>
      </w:r>
      <w:r w:rsidR="00C262CC" w:rsidRPr="00EC5DF9">
        <w:rPr>
          <w:rFonts w:ascii="Times New Roman" w:hAnsi="Times New Roman" w:cs="Times New Roman"/>
          <w:sz w:val="24"/>
          <w:szCs w:val="24"/>
        </w:rPr>
        <w:t xml:space="preserve">. </w:t>
      </w:r>
      <w:r w:rsidR="00345978" w:rsidRPr="00EC5DF9">
        <w:rPr>
          <w:rFonts w:ascii="Times New Roman" w:hAnsi="Times New Roman" w:cs="Times New Roman"/>
          <w:sz w:val="24"/>
          <w:szCs w:val="24"/>
        </w:rPr>
        <w:t xml:space="preserve">Доля </w:t>
      </w:r>
      <w:r w:rsidR="00C262CC" w:rsidRPr="00EC5DF9">
        <w:rPr>
          <w:rFonts w:ascii="Times New Roman" w:hAnsi="Times New Roman" w:cs="Times New Roman"/>
          <w:sz w:val="24"/>
          <w:szCs w:val="24"/>
        </w:rPr>
        <w:t xml:space="preserve">их </w:t>
      </w:r>
      <w:r w:rsidR="00345978" w:rsidRPr="00EC5DF9">
        <w:rPr>
          <w:rFonts w:ascii="Times New Roman" w:hAnsi="Times New Roman" w:cs="Times New Roman"/>
          <w:sz w:val="24"/>
          <w:szCs w:val="24"/>
        </w:rPr>
        <w:t>кредиторской задолженности в общем объеме расходов составляет 0%.</w:t>
      </w:r>
    </w:p>
    <w:p w:rsidR="00B9718E" w:rsidRPr="00EC5DF9" w:rsidRDefault="00D8189C" w:rsidP="00B9718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DF9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C262CC" w:rsidRPr="00EC5DF9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EC5DF9">
        <w:rPr>
          <w:rFonts w:ascii="Times New Roman" w:hAnsi="Times New Roman" w:cs="Times New Roman"/>
          <w:sz w:val="24"/>
          <w:szCs w:val="24"/>
        </w:rPr>
        <w:t xml:space="preserve">показателя 50,0 баллов </w:t>
      </w:r>
      <w:r w:rsidR="00C262CC" w:rsidRPr="00EC5DF9">
        <w:rPr>
          <w:rFonts w:ascii="Times New Roman" w:hAnsi="Times New Roman" w:cs="Times New Roman"/>
          <w:sz w:val="24"/>
          <w:szCs w:val="24"/>
        </w:rPr>
        <w:t>получили:</w:t>
      </w:r>
      <w:r w:rsidRPr="00EC5DF9">
        <w:rPr>
          <w:rFonts w:ascii="Times New Roman" w:hAnsi="Times New Roman" w:cs="Times New Roman"/>
          <w:sz w:val="24"/>
          <w:szCs w:val="24"/>
        </w:rPr>
        <w:t xml:space="preserve"> </w:t>
      </w:r>
      <w:r w:rsidR="00C262CC" w:rsidRPr="00EC5DF9">
        <w:rPr>
          <w:rFonts w:ascii="Times New Roman" w:hAnsi="Times New Roman" w:cs="Times New Roman"/>
          <w:sz w:val="24"/>
          <w:szCs w:val="24"/>
        </w:rPr>
        <w:t>Управление образования, Администраци</w:t>
      </w:r>
      <w:r w:rsidR="00B9718E" w:rsidRPr="00EC5DF9">
        <w:rPr>
          <w:rFonts w:ascii="Times New Roman" w:hAnsi="Times New Roman" w:cs="Times New Roman"/>
          <w:sz w:val="24"/>
          <w:szCs w:val="24"/>
        </w:rPr>
        <w:t>я</w:t>
      </w:r>
      <w:r w:rsidR="00C262CC" w:rsidRPr="00EC5DF9">
        <w:rPr>
          <w:rFonts w:ascii="Times New Roman" w:hAnsi="Times New Roman" w:cs="Times New Roman"/>
          <w:sz w:val="24"/>
          <w:szCs w:val="24"/>
        </w:rPr>
        <w:t xml:space="preserve"> города Югорска, Департамент финансов, Дума города Югорска</w:t>
      </w:r>
      <w:r w:rsidR="00024033" w:rsidRPr="00EC5DF9">
        <w:rPr>
          <w:rFonts w:ascii="Times New Roman" w:hAnsi="Times New Roman" w:cs="Times New Roman"/>
          <w:sz w:val="24"/>
          <w:szCs w:val="24"/>
        </w:rPr>
        <w:t>, Департамент жилищно-коммунального и строительного комплекса, МКУ «Централизованная бухгалтерия»</w:t>
      </w:r>
      <w:r w:rsidR="00B9718E" w:rsidRPr="00EC5DF9">
        <w:rPr>
          <w:rFonts w:ascii="Times New Roman" w:hAnsi="Times New Roman" w:cs="Times New Roman"/>
          <w:sz w:val="24"/>
          <w:szCs w:val="24"/>
        </w:rPr>
        <w:t>. Доля их кредиторской задолженности в общем объеме расходов составляет от 0,1% до 0,5%.</w:t>
      </w:r>
    </w:p>
    <w:p w:rsidR="00BE2165" w:rsidRPr="00EC5DF9" w:rsidRDefault="00BE2165" w:rsidP="00BE21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C5DF9">
        <w:rPr>
          <w:rFonts w:ascii="Times New Roman" w:hAnsi="Times New Roman" w:cs="Times New Roman"/>
          <w:sz w:val="24"/>
          <w:szCs w:val="24"/>
        </w:rPr>
        <w:t>Средняя балльная оценка по показателю составила 7</w:t>
      </w:r>
      <w:r w:rsidR="00024033" w:rsidRPr="00EC5DF9">
        <w:rPr>
          <w:rFonts w:ascii="Times New Roman" w:hAnsi="Times New Roman" w:cs="Times New Roman"/>
          <w:sz w:val="24"/>
          <w:szCs w:val="24"/>
        </w:rPr>
        <w:t>2</w:t>
      </w:r>
      <w:r w:rsidRPr="00EC5DF9">
        <w:rPr>
          <w:rFonts w:ascii="Times New Roman" w:hAnsi="Times New Roman" w:cs="Times New Roman"/>
          <w:sz w:val="24"/>
          <w:szCs w:val="24"/>
        </w:rPr>
        <w:t>,</w:t>
      </w:r>
      <w:r w:rsidR="00024033" w:rsidRPr="00EC5DF9">
        <w:rPr>
          <w:rFonts w:ascii="Times New Roman" w:hAnsi="Times New Roman" w:cs="Times New Roman"/>
          <w:sz w:val="24"/>
          <w:szCs w:val="24"/>
        </w:rPr>
        <w:t>7</w:t>
      </w:r>
      <w:r w:rsidRPr="00EC5DF9">
        <w:rPr>
          <w:rFonts w:ascii="Times New Roman" w:hAnsi="Times New Roman" w:cs="Times New Roman"/>
          <w:sz w:val="24"/>
          <w:szCs w:val="24"/>
        </w:rPr>
        <w:t xml:space="preserve"> баллов, что выше уровня за 201</w:t>
      </w:r>
      <w:r w:rsidR="00BB5CE6" w:rsidRPr="00EC5DF9">
        <w:rPr>
          <w:rFonts w:ascii="Times New Roman" w:hAnsi="Times New Roman" w:cs="Times New Roman"/>
          <w:sz w:val="24"/>
          <w:szCs w:val="24"/>
        </w:rPr>
        <w:t>5</w:t>
      </w:r>
      <w:r w:rsidRPr="00EC5DF9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024033" w:rsidRPr="00EC5DF9">
        <w:rPr>
          <w:rFonts w:ascii="Times New Roman" w:hAnsi="Times New Roman" w:cs="Times New Roman"/>
          <w:sz w:val="24"/>
          <w:szCs w:val="24"/>
        </w:rPr>
        <w:t>1,8</w:t>
      </w:r>
      <w:r w:rsidRPr="00EC5DF9">
        <w:rPr>
          <w:rFonts w:ascii="Times New Roman" w:hAnsi="Times New Roman" w:cs="Times New Roman"/>
          <w:sz w:val="24"/>
          <w:szCs w:val="24"/>
        </w:rPr>
        <w:t xml:space="preserve"> баллов (в 201</w:t>
      </w:r>
      <w:r w:rsidR="00BB5CE6" w:rsidRPr="00EC5DF9">
        <w:rPr>
          <w:rFonts w:ascii="Times New Roman" w:hAnsi="Times New Roman" w:cs="Times New Roman"/>
          <w:sz w:val="24"/>
          <w:szCs w:val="24"/>
        </w:rPr>
        <w:t>5</w:t>
      </w:r>
      <w:r w:rsidRPr="00EC5DF9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BB5CE6" w:rsidRPr="00EC5DF9">
        <w:rPr>
          <w:rFonts w:ascii="Times New Roman" w:hAnsi="Times New Roman" w:cs="Times New Roman"/>
          <w:sz w:val="24"/>
          <w:szCs w:val="24"/>
        </w:rPr>
        <w:t>7</w:t>
      </w:r>
      <w:r w:rsidR="00FD7E4F" w:rsidRPr="00EC5DF9">
        <w:rPr>
          <w:rFonts w:ascii="Times New Roman" w:hAnsi="Times New Roman" w:cs="Times New Roman"/>
          <w:sz w:val="24"/>
          <w:szCs w:val="24"/>
        </w:rPr>
        <w:t>0,</w:t>
      </w:r>
      <w:r w:rsidR="00BB5CE6" w:rsidRPr="00EC5DF9">
        <w:rPr>
          <w:rFonts w:ascii="Times New Roman" w:hAnsi="Times New Roman" w:cs="Times New Roman"/>
          <w:sz w:val="24"/>
          <w:szCs w:val="24"/>
        </w:rPr>
        <w:t>9</w:t>
      </w:r>
      <w:r w:rsidRPr="00EC5DF9">
        <w:rPr>
          <w:rFonts w:ascii="Times New Roman" w:hAnsi="Times New Roman" w:cs="Times New Roman"/>
          <w:sz w:val="24"/>
          <w:szCs w:val="24"/>
        </w:rPr>
        <w:t xml:space="preserve"> баллов).</w:t>
      </w:r>
    </w:p>
    <w:p w:rsidR="00F30DDF" w:rsidRPr="009A1A75" w:rsidRDefault="00F30DDF" w:rsidP="00F30DDF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D8189C" w:rsidRPr="00EC5DF9" w:rsidRDefault="00D8189C" w:rsidP="00F30DD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5DF9">
        <w:rPr>
          <w:rFonts w:ascii="Times New Roman" w:hAnsi="Times New Roman" w:cs="Times New Roman"/>
          <w:b/>
          <w:sz w:val="24"/>
          <w:szCs w:val="24"/>
        </w:rPr>
        <w:t>3. Оценка состояния учёта и отчётности</w:t>
      </w:r>
    </w:p>
    <w:p w:rsidR="00F30DDF" w:rsidRPr="009A1A75" w:rsidRDefault="00F30DDF" w:rsidP="00F30DDF">
      <w:pPr>
        <w:spacing w:after="0" w:line="240" w:lineRule="auto"/>
        <w:jc w:val="center"/>
        <w:rPr>
          <w:b/>
          <w:sz w:val="28"/>
          <w:szCs w:val="28"/>
        </w:rPr>
      </w:pPr>
    </w:p>
    <w:p w:rsidR="00516E1E" w:rsidRPr="00602C2E" w:rsidRDefault="00516E1E" w:rsidP="00F30D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C2E">
        <w:rPr>
          <w:rFonts w:ascii="Times New Roman" w:hAnsi="Times New Roman" w:cs="Times New Roman"/>
          <w:sz w:val="24"/>
          <w:szCs w:val="24"/>
        </w:rPr>
        <w:t>Для расчёта показателей Мониторинга в части исполнения бюджета использовались:</w:t>
      </w:r>
    </w:p>
    <w:p w:rsidR="00516E1E" w:rsidRPr="00602C2E" w:rsidRDefault="00342980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C2E">
        <w:rPr>
          <w:rFonts w:ascii="Times New Roman" w:hAnsi="Times New Roman" w:cs="Times New Roman"/>
          <w:sz w:val="24"/>
          <w:szCs w:val="24"/>
        </w:rPr>
        <w:t>дан</w:t>
      </w:r>
      <w:r w:rsidR="00BB5CE6" w:rsidRPr="00602C2E">
        <w:rPr>
          <w:rFonts w:ascii="Times New Roman" w:hAnsi="Times New Roman" w:cs="Times New Roman"/>
          <w:sz w:val="24"/>
          <w:szCs w:val="24"/>
        </w:rPr>
        <w:t>ные годовых отчётов ГАБС за 2016</w:t>
      </w:r>
      <w:r w:rsidRPr="00602C2E">
        <w:rPr>
          <w:rFonts w:ascii="Times New Roman" w:hAnsi="Times New Roman" w:cs="Times New Roman"/>
          <w:sz w:val="24"/>
          <w:szCs w:val="24"/>
        </w:rPr>
        <w:t xml:space="preserve"> год об исполнении бюджета, </w:t>
      </w:r>
      <w:r w:rsidR="00516E1E" w:rsidRPr="00602C2E">
        <w:rPr>
          <w:rFonts w:ascii="Times New Roman" w:hAnsi="Times New Roman" w:cs="Times New Roman"/>
          <w:sz w:val="24"/>
          <w:szCs w:val="24"/>
        </w:rPr>
        <w:t>обходные листы с отражением сроков представления и принятия отчётности ГАБС;</w:t>
      </w:r>
    </w:p>
    <w:p w:rsidR="00516E1E" w:rsidRPr="00602C2E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C2E">
        <w:rPr>
          <w:rFonts w:ascii="Times New Roman" w:hAnsi="Times New Roman" w:cs="Times New Roman"/>
          <w:sz w:val="24"/>
          <w:szCs w:val="24"/>
        </w:rPr>
        <w:t>сведения о внесенных изменениях в бюджетную отчетность;</w:t>
      </w:r>
    </w:p>
    <w:p w:rsidR="00516E1E" w:rsidRPr="00602C2E" w:rsidRDefault="00516E1E" w:rsidP="00516E1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C2E">
        <w:rPr>
          <w:rFonts w:ascii="Times New Roman" w:hAnsi="Times New Roman" w:cs="Times New Roman"/>
          <w:sz w:val="24"/>
          <w:szCs w:val="24"/>
        </w:rPr>
        <w:t xml:space="preserve">сопроводительные письма ГАБС о представлении в </w:t>
      </w:r>
      <w:r w:rsidR="002440F4" w:rsidRPr="00602C2E">
        <w:rPr>
          <w:rFonts w:ascii="Times New Roman" w:hAnsi="Times New Roman" w:cs="Times New Roman"/>
          <w:sz w:val="24"/>
          <w:szCs w:val="24"/>
        </w:rPr>
        <w:t>Д</w:t>
      </w:r>
      <w:r w:rsidRPr="00602C2E">
        <w:rPr>
          <w:rFonts w:ascii="Times New Roman" w:hAnsi="Times New Roman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города;</w:t>
      </w:r>
    </w:p>
    <w:p w:rsidR="003B6015" w:rsidRPr="00602C2E" w:rsidRDefault="003B6015" w:rsidP="00D8189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C2E">
        <w:rPr>
          <w:rFonts w:ascii="Times New Roman" w:hAnsi="Times New Roman" w:cs="Times New Roman"/>
          <w:sz w:val="24"/>
          <w:szCs w:val="24"/>
        </w:rPr>
        <w:t xml:space="preserve">данные о принятии у ГАБС информаций, отчетов, аналитических данных, служебные записки </w:t>
      </w:r>
      <w:r w:rsidR="002440F4" w:rsidRPr="00602C2E">
        <w:rPr>
          <w:rFonts w:ascii="Times New Roman" w:hAnsi="Times New Roman" w:cs="Times New Roman"/>
          <w:sz w:val="24"/>
          <w:szCs w:val="24"/>
        </w:rPr>
        <w:t>Д</w:t>
      </w:r>
      <w:r w:rsidRPr="00602C2E">
        <w:rPr>
          <w:rFonts w:ascii="Times New Roman" w:hAnsi="Times New Roman" w:cs="Times New Roman"/>
          <w:sz w:val="24"/>
          <w:szCs w:val="24"/>
        </w:rPr>
        <w:t>епартамента финансов о предоставлении ГАБС недостоверной информации с требованием ее доработать.</w:t>
      </w:r>
    </w:p>
    <w:p w:rsidR="006950AF" w:rsidRPr="00602C2E" w:rsidRDefault="00B409BA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2C2E">
        <w:rPr>
          <w:rFonts w:ascii="Times New Roman" w:hAnsi="Times New Roman" w:cs="Times New Roman"/>
          <w:sz w:val="24"/>
          <w:szCs w:val="24"/>
        </w:rPr>
        <w:t xml:space="preserve">Средняя балльная оценка по </w:t>
      </w:r>
      <w:r w:rsidR="00E00B45" w:rsidRPr="00602C2E">
        <w:rPr>
          <w:rFonts w:ascii="Times New Roman" w:hAnsi="Times New Roman" w:cs="Times New Roman"/>
          <w:sz w:val="24"/>
          <w:szCs w:val="24"/>
        </w:rPr>
        <w:t>3</w:t>
      </w:r>
      <w:r w:rsidRPr="00602C2E">
        <w:rPr>
          <w:rFonts w:ascii="Times New Roman" w:hAnsi="Times New Roman" w:cs="Times New Roman"/>
          <w:sz w:val="24"/>
          <w:szCs w:val="24"/>
        </w:rPr>
        <w:t xml:space="preserve">-й группе показателей </w:t>
      </w:r>
      <w:r w:rsidR="002F5A02" w:rsidRPr="00602C2E">
        <w:rPr>
          <w:rFonts w:ascii="Times New Roman" w:hAnsi="Times New Roman" w:cs="Times New Roman"/>
          <w:sz w:val="24"/>
          <w:szCs w:val="24"/>
        </w:rPr>
        <w:t>за 2016</w:t>
      </w:r>
      <w:r w:rsidR="00786901" w:rsidRPr="00602C2E">
        <w:rPr>
          <w:rFonts w:ascii="Times New Roman" w:hAnsi="Times New Roman" w:cs="Times New Roman"/>
          <w:sz w:val="24"/>
          <w:szCs w:val="24"/>
        </w:rPr>
        <w:t xml:space="preserve"> год </w:t>
      </w:r>
      <w:r w:rsidR="00375213" w:rsidRPr="00602C2E">
        <w:rPr>
          <w:rFonts w:ascii="Times New Roman" w:hAnsi="Times New Roman" w:cs="Times New Roman"/>
          <w:sz w:val="24"/>
          <w:szCs w:val="24"/>
        </w:rPr>
        <w:t xml:space="preserve">довольно низкая и </w:t>
      </w:r>
      <w:r w:rsidRPr="00602C2E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602C2E" w:rsidRPr="00602C2E">
        <w:rPr>
          <w:rFonts w:ascii="Times New Roman" w:hAnsi="Times New Roman" w:cs="Times New Roman"/>
          <w:sz w:val="24"/>
          <w:szCs w:val="24"/>
        </w:rPr>
        <w:t>77,4</w:t>
      </w:r>
      <w:r w:rsidRPr="00602C2E">
        <w:rPr>
          <w:rFonts w:ascii="Times New Roman" w:hAnsi="Times New Roman" w:cs="Times New Roman"/>
          <w:sz w:val="24"/>
          <w:szCs w:val="24"/>
        </w:rPr>
        <w:t xml:space="preserve"> баллов по 100-балльной шкале</w:t>
      </w:r>
      <w:r w:rsidR="006950AF" w:rsidRPr="00602C2E">
        <w:rPr>
          <w:rFonts w:ascii="Times New Roman" w:hAnsi="Times New Roman" w:cs="Times New Roman"/>
          <w:sz w:val="24"/>
          <w:szCs w:val="24"/>
        </w:rPr>
        <w:t xml:space="preserve">, что </w:t>
      </w:r>
      <w:r w:rsidR="00786901" w:rsidRPr="00602C2E">
        <w:rPr>
          <w:rFonts w:ascii="Times New Roman" w:hAnsi="Times New Roman" w:cs="Times New Roman"/>
          <w:sz w:val="24"/>
          <w:szCs w:val="24"/>
        </w:rPr>
        <w:t xml:space="preserve">все же </w:t>
      </w:r>
      <w:r w:rsidR="006950AF" w:rsidRPr="00602C2E">
        <w:rPr>
          <w:rFonts w:ascii="Times New Roman" w:hAnsi="Times New Roman" w:cs="Times New Roman"/>
          <w:sz w:val="24"/>
          <w:szCs w:val="24"/>
        </w:rPr>
        <w:t xml:space="preserve">на </w:t>
      </w:r>
      <w:r w:rsidR="00602C2E" w:rsidRPr="00602C2E">
        <w:rPr>
          <w:rFonts w:ascii="Times New Roman" w:hAnsi="Times New Roman" w:cs="Times New Roman"/>
          <w:sz w:val="24"/>
          <w:szCs w:val="24"/>
        </w:rPr>
        <w:t>2,1</w:t>
      </w:r>
      <w:r w:rsidR="00786901" w:rsidRPr="00602C2E">
        <w:rPr>
          <w:rFonts w:ascii="Times New Roman" w:hAnsi="Times New Roman" w:cs="Times New Roman"/>
          <w:sz w:val="24"/>
          <w:szCs w:val="24"/>
        </w:rPr>
        <w:t xml:space="preserve"> балла выше значения за 201</w:t>
      </w:r>
      <w:r w:rsidR="002F5A02" w:rsidRPr="00602C2E">
        <w:rPr>
          <w:rFonts w:ascii="Times New Roman" w:hAnsi="Times New Roman" w:cs="Times New Roman"/>
          <w:sz w:val="24"/>
          <w:szCs w:val="24"/>
        </w:rPr>
        <w:t>5 год (в 2015</w:t>
      </w:r>
      <w:r w:rsidR="00786901" w:rsidRPr="00602C2E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</w:t>
      </w:r>
      <w:r w:rsidR="002F5A02" w:rsidRPr="00602C2E">
        <w:rPr>
          <w:rFonts w:ascii="Times New Roman" w:hAnsi="Times New Roman" w:cs="Times New Roman"/>
          <w:sz w:val="24"/>
          <w:szCs w:val="24"/>
        </w:rPr>
        <w:t xml:space="preserve"> группе показателей составляла </w:t>
      </w:r>
      <w:r w:rsidR="00786901" w:rsidRPr="00602C2E">
        <w:rPr>
          <w:rFonts w:ascii="Times New Roman" w:hAnsi="Times New Roman" w:cs="Times New Roman"/>
          <w:sz w:val="24"/>
          <w:szCs w:val="24"/>
        </w:rPr>
        <w:t>7</w:t>
      </w:r>
      <w:r w:rsidR="002F5A02" w:rsidRPr="00602C2E">
        <w:rPr>
          <w:rFonts w:ascii="Times New Roman" w:hAnsi="Times New Roman" w:cs="Times New Roman"/>
          <w:sz w:val="24"/>
          <w:szCs w:val="24"/>
        </w:rPr>
        <w:t>5</w:t>
      </w:r>
      <w:r w:rsidR="00786901" w:rsidRPr="00602C2E">
        <w:rPr>
          <w:rFonts w:ascii="Times New Roman" w:hAnsi="Times New Roman" w:cs="Times New Roman"/>
          <w:sz w:val="24"/>
          <w:szCs w:val="24"/>
        </w:rPr>
        <w:t>,</w:t>
      </w:r>
      <w:r w:rsidR="002F5A02" w:rsidRPr="00602C2E">
        <w:rPr>
          <w:rFonts w:ascii="Times New Roman" w:hAnsi="Times New Roman" w:cs="Times New Roman"/>
          <w:sz w:val="24"/>
          <w:szCs w:val="24"/>
        </w:rPr>
        <w:t>1</w:t>
      </w:r>
      <w:r w:rsidR="00786901" w:rsidRPr="00602C2E">
        <w:rPr>
          <w:rFonts w:ascii="Times New Roman" w:hAnsi="Times New Roman" w:cs="Times New Roman"/>
          <w:sz w:val="24"/>
          <w:szCs w:val="24"/>
        </w:rPr>
        <w:t xml:space="preserve"> баллов)</w:t>
      </w:r>
      <w:r w:rsidRPr="00602C2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409BA" w:rsidRPr="00E533E0" w:rsidRDefault="003043C2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533E0">
        <w:rPr>
          <w:rFonts w:ascii="Times New Roman" w:hAnsi="Times New Roman" w:cs="Times New Roman"/>
          <w:sz w:val="24"/>
          <w:szCs w:val="24"/>
        </w:rPr>
        <w:t>За 2016</w:t>
      </w:r>
      <w:r w:rsidR="006950AF" w:rsidRPr="00E533E0">
        <w:rPr>
          <w:rFonts w:ascii="Times New Roman" w:hAnsi="Times New Roman" w:cs="Times New Roman"/>
          <w:sz w:val="24"/>
          <w:szCs w:val="24"/>
        </w:rPr>
        <w:t xml:space="preserve"> год т</w:t>
      </w:r>
      <w:r w:rsidR="00E00B45" w:rsidRPr="00E533E0">
        <w:rPr>
          <w:rFonts w:ascii="Times New Roman" w:hAnsi="Times New Roman" w:cs="Times New Roman"/>
          <w:sz w:val="24"/>
          <w:szCs w:val="24"/>
        </w:rPr>
        <w:t xml:space="preserve">олько </w:t>
      </w:r>
      <w:r w:rsidR="00E533E0" w:rsidRPr="00E533E0">
        <w:rPr>
          <w:rFonts w:ascii="Times New Roman" w:hAnsi="Times New Roman" w:cs="Times New Roman"/>
          <w:sz w:val="24"/>
          <w:szCs w:val="24"/>
        </w:rPr>
        <w:t>3</w:t>
      </w:r>
      <w:r w:rsidR="00375213" w:rsidRPr="00E533E0">
        <w:rPr>
          <w:rFonts w:ascii="Times New Roman" w:hAnsi="Times New Roman" w:cs="Times New Roman"/>
          <w:sz w:val="24"/>
          <w:szCs w:val="24"/>
        </w:rPr>
        <w:t>-м</w:t>
      </w:r>
      <w:r w:rsidR="00E00B45" w:rsidRPr="00E533E0">
        <w:rPr>
          <w:rFonts w:ascii="Times New Roman" w:hAnsi="Times New Roman" w:cs="Times New Roman"/>
          <w:sz w:val="24"/>
          <w:szCs w:val="24"/>
        </w:rPr>
        <w:t xml:space="preserve"> из</w:t>
      </w:r>
      <w:r w:rsidR="00B409BA" w:rsidRPr="00E533E0">
        <w:rPr>
          <w:rFonts w:ascii="Times New Roman" w:hAnsi="Times New Roman" w:cs="Times New Roman"/>
          <w:sz w:val="24"/>
          <w:szCs w:val="24"/>
        </w:rPr>
        <w:t xml:space="preserve"> 11 ГАБС </w:t>
      </w:r>
      <w:r w:rsidR="00375213" w:rsidRPr="00E533E0">
        <w:rPr>
          <w:rFonts w:ascii="Times New Roman" w:hAnsi="Times New Roman" w:cs="Times New Roman"/>
          <w:sz w:val="24"/>
          <w:szCs w:val="24"/>
        </w:rPr>
        <w:t>(</w:t>
      </w:r>
      <w:r w:rsidR="00E533E0" w:rsidRPr="00E533E0">
        <w:rPr>
          <w:rFonts w:ascii="Times New Roman" w:hAnsi="Times New Roman" w:cs="Times New Roman"/>
          <w:sz w:val="24"/>
          <w:szCs w:val="24"/>
        </w:rPr>
        <w:t>27,3</w:t>
      </w:r>
      <w:r w:rsidR="00375213" w:rsidRPr="00E533E0">
        <w:rPr>
          <w:rFonts w:ascii="Times New Roman" w:hAnsi="Times New Roman" w:cs="Times New Roman"/>
          <w:sz w:val="24"/>
          <w:szCs w:val="24"/>
        </w:rPr>
        <w:t xml:space="preserve">%) </w:t>
      </w:r>
      <w:r w:rsidR="00B409BA" w:rsidRPr="00E533E0">
        <w:rPr>
          <w:rFonts w:ascii="Times New Roman" w:hAnsi="Times New Roman" w:cs="Times New Roman"/>
          <w:sz w:val="24"/>
          <w:szCs w:val="24"/>
        </w:rPr>
        <w:t>присвоена максимальная оценка – 100 баллов</w:t>
      </w:r>
      <w:r w:rsidR="00E00B45" w:rsidRPr="00E533E0">
        <w:rPr>
          <w:rFonts w:ascii="Times New Roman" w:hAnsi="Times New Roman" w:cs="Times New Roman"/>
          <w:sz w:val="24"/>
          <w:szCs w:val="24"/>
        </w:rPr>
        <w:t xml:space="preserve"> (Департаменту финансов</w:t>
      </w:r>
      <w:r w:rsidR="00E533E0" w:rsidRPr="00E533E0">
        <w:rPr>
          <w:rFonts w:ascii="Times New Roman" w:hAnsi="Times New Roman" w:cs="Times New Roman"/>
          <w:sz w:val="24"/>
          <w:szCs w:val="24"/>
        </w:rPr>
        <w:t>, Думе города Югорска</w:t>
      </w:r>
      <w:r w:rsidR="00E00B45" w:rsidRPr="00E533E0">
        <w:rPr>
          <w:rFonts w:ascii="Times New Roman" w:hAnsi="Times New Roman" w:cs="Times New Roman"/>
          <w:sz w:val="24"/>
          <w:szCs w:val="24"/>
        </w:rPr>
        <w:t xml:space="preserve"> и Управлению экономиче</w:t>
      </w:r>
      <w:r w:rsidRPr="00E533E0">
        <w:rPr>
          <w:rFonts w:ascii="Times New Roman" w:hAnsi="Times New Roman" w:cs="Times New Roman"/>
          <w:sz w:val="24"/>
          <w:szCs w:val="24"/>
        </w:rPr>
        <w:t xml:space="preserve">ской политики (в </w:t>
      </w:r>
      <w:r w:rsidRPr="00E533E0">
        <w:rPr>
          <w:rFonts w:ascii="Times New Roman" w:hAnsi="Times New Roman" w:cs="Times New Roman"/>
          <w:sz w:val="24"/>
          <w:szCs w:val="24"/>
        </w:rPr>
        <w:lastRenderedPageBreak/>
        <w:t>отношении МАУ «</w:t>
      </w:r>
      <w:r w:rsidR="00E00B45" w:rsidRPr="00E533E0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</w:t>
      </w:r>
      <w:r w:rsidRPr="00E533E0">
        <w:rPr>
          <w:rFonts w:ascii="Times New Roman" w:hAnsi="Times New Roman" w:cs="Times New Roman"/>
          <w:sz w:val="24"/>
          <w:szCs w:val="24"/>
        </w:rPr>
        <w:t>рственных и муниципальных услуг»</w:t>
      </w:r>
      <w:r w:rsidR="00E00B45" w:rsidRPr="00E533E0">
        <w:rPr>
          <w:rFonts w:ascii="Times New Roman" w:hAnsi="Times New Roman" w:cs="Times New Roman"/>
          <w:sz w:val="24"/>
          <w:szCs w:val="24"/>
        </w:rPr>
        <w:t>)</w:t>
      </w:r>
      <w:r w:rsidR="00B409BA" w:rsidRPr="00E533E0">
        <w:rPr>
          <w:rFonts w:ascii="Times New Roman" w:hAnsi="Times New Roman" w:cs="Times New Roman"/>
          <w:sz w:val="24"/>
          <w:szCs w:val="24"/>
        </w:rPr>
        <w:t>.</w:t>
      </w:r>
      <w:r w:rsidR="00375213" w:rsidRPr="00E533E0">
        <w:rPr>
          <w:rFonts w:ascii="Times New Roman" w:hAnsi="Times New Roman" w:cs="Times New Roman"/>
          <w:sz w:val="24"/>
          <w:szCs w:val="24"/>
        </w:rPr>
        <w:t xml:space="preserve"> </w:t>
      </w:r>
      <w:r w:rsidR="00E533E0" w:rsidRPr="00E533E0">
        <w:rPr>
          <w:rFonts w:ascii="Times New Roman" w:hAnsi="Times New Roman" w:cs="Times New Roman"/>
          <w:sz w:val="24"/>
          <w:szCs w:val="24"/>
        </w:rPr>
        <w:t>5</w:t>
      </w:r>
      <w:r w:rsidR="00375213" w:rsidRPr="00E533E0">
        <w:rPr>
          <w:rFonts w:ascii="Times New Roman" w:hAnsi="Times New Roman" w:cs="Times New Roman"/>
          <w:sz w:val="24"/>
          <w:szCs w:val="24"/>
        </w:rPr>
        <w:t xml:space="preserve"> ГАБС или </w:t>
      </w:r>
      <w:r w:rsidR="00E533E0" w:rsidRPr="00E533E0">
        <w:rPr>
          <w:rFonts w:ascii="Times New Roman" w:hAnsi="Times New Roman" w:cs="Times New Roman"/>
          <w:sz w:val="24"/>
          <w:szCs w:val="24"/>
        </w:rPr>
        <w:t>45</w:t>
      </w:r>
      <w:r w:rsidR="00375213" w:rsidRPr="00E533E0">
        <w:rPr>
          <w:rFonts w:ascii="Times New Roman" w:hAnsi="Times New Roman" w:cs="Times New Roman"/>
          <w:sz w:val="24"/>
          <w:szCs w:val="24"/>
        </w:rPr>
        <w:t xml:space="preserve">,5% от общего количества оцениваемых ГАБС имеют значения балльной оценки качества финансового менеджмента </w:t>
      </w:r>
      <w:r w:rsidR="00EF2765" w:rsidRPr="00E533E0">
        <w:rPr>
          <w:rFonts w:ascii="Times New Roman" w:hAnsi="Times New Roman" w:cs="Times New Roman"/>
          <w:sz w:val="24"/>
          <w:szCs w:val="24"/>
        </w:rPr>
        <w:t xml:space="preserve">по 3-й группе показателей </w:t>
      </w:r>
      <w:r w:rsidR="00375213" w:rsidRPr="00E533E0">
        <w:rPr>
          <w:rFonts w:ascii="Times New Roman" w:hAnsi="Times New Roman" w:cs="Times New Roman"/>
          <w:sz w:val="24"/>
          <w:szCs w:val="24"/>
        </w:rPr>
        <w:t xml:space="preserve">ниже среднего, из них </w:t>
      </w:r>
      <w:r w:rsidR="00E533E0" w:rsidRPr="00E533E0">
        <w:rPr>
          <w:rFonts w:ascii="Times New Roman" w:hAnsi="Times New Roman" w:cs="Times New Roman"/>
          <w:sz w:val="24"/>
          <w:szCs w:val="24"/>
        </w:rPr>
        <w:t>3</w:t>
      </w:r>
      <w:r w:rsidR="00375213" w:rsidRPr="00E533E0">
        <w:rPr>
          <w:rFonts w:ascii="Times New Roman" w:hAnsi="Times New Roman" w:cs="Times New Roman"/>
          <w:sz w:val="24"/>
          <w:szCs w:val="24"/>
        </w:rPr>
        <w:t xml:space="preserve"> ГАБС (</w:t>
      </w:r>
      <w:r w:rsidR="00E533E0" w:rsidRPr="00E533E0">
        <w:rPr>
          <w:rFonts w:ascii="Times New Roman" w:hAnsi="Times New Roman" w:cs="Times New Roman"/>
          <w:sz w:val="24"/>
          <w:szCs w:val="24"/>
        </w:rPr>
        <w:t>МКУ</w:t>
      </w:r>
      <w:proofErr w:type="gramEnd"/>
      <w:r w:rsidR="00E533E0" w:rsidRPr="00E533E0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="00E533E0" w:rsidRPr="00E533E0">
        <w:rPr>
          <w:rFonts w:ascii="Times New Roman" w:hAnsi="Times New Roman" w:cs="Times New Roman"/>
          <w:sz w:val="24"/>
          <w:szCs w:val="24"/>
        </w:rPr>
        <w:t>Централизованная бухгалтерия», Управление культуры, Управление социальной политики</w:t>
      </w:r>
      <w:r w:rsidR="00375213" w:rsidRPr="00E533E0">
        <w:rPr>
          <w:rFonts w:ascii="Times New Roman" w:hAnsi="Times New Roman" w:cs="Times New Roman"/>
          <w:sz w:val="24"/>
          <w:szCs w:val="24"/>
        </w:rPr>
        <w:t xml:space="preserve">) набрали </w:t>
      </w:r>
      <w:r w:rsidR="002440F4" w:rsidRPr="00E533E0">
        <w:rPr>
          <w:rFonts w:ascii="Times New Roman" w:hAnsi="Times New Roman" w:cs="Times New Roman"/>
          <w:sz w:val="24"/>
          <w:szCs w:val="24"/>
        </w:rPr>
        <w:t>ниже</w:t>
      </w:r>
      <w:r w:rsidR="00375213" w:rsidRPr="00E533E0">
        <w:rPr>
          <w:rFonts w:ascii="Times New Roman" w:hAnsi="Times New Roman" w:cs="Times New Roman"/>
          <w:sz w:val="24"/>
          <w:szCs w:val="24"/>
        </w:rPr>
        <w:t xml:space="preserve"> 60 баллов.</w:t>
      </w:r>
      <w:proofErr w:type="gramEnd"/>
    </w:p>
    <w:p w:rsidR="00B409BA" w:rsidRPr="009A1A75" w:rsidRDefault="00B409BA" w:rsidP="00B409BA">
      <w:pPr>
        <w:jc w:val="both"/>
        <w:rPr>
          <w:color w:val="FF0000"/>
          <w:sz w:val="24"/>
          <w:szCs w:val="24"/>
        </w:rPr>
      </w:pPr>
      <w:r w:rsidRPr="009A1A75">
        <w:rPr>
          <w:noProof/>
          <w:color w:val="FF0000"/>
          <w:sz w:val="24"/>
          <w:szCs w:val="24"/>
        </w:rPr>
        <w:drawing>
          <wp:inline distT="0" distB="0" distL="0" distR="0">
            <wp:extent cx="6407630" cy="2665563"/>
            <wp:effectExtent l="19050" t="0" r="12220" b="0"/>
            <wp:docPr id="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D8189C" w:rsidRPr="00E533E0" w:rsidRDefault="00D8189C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3E0">
        <w:rPr>
          <w:rFonts w:ascii="Times New Roman" w:hAnsi="Times New Roman" w:cs="Times New Roman"/>
          <w:sz w:val="24"/>
          <w:szCs w:val="24"/>
        </w:rPr>
        <w:t>Оценка результатов исполнения бюджета проведена по четырем показателям:</w:t>
      </w:r>
    </w:p>
    <w:p w:rsidR="00180147" w:rsidRPr="00E533E0" w:rsidRDefault="00D8189C" w:rsidP="007B0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3E0">
        <w:rPr>
          <w:rFonts w:ascii="Times New Roman" w:hAnsi="Times New Roman" w:cs="Times New Roman"/>
          <w:sz w:val="24"/>
          <w:szCs w:val="24"/>
        </w:rPr>
        <w:tab/>
        <w:t>1) Показатель 3.1</w:t>
      </w:r>
      <w:r w:rsidR="00612359" w:rsidRPr="00E533E0">
        <w:rPr>
          <w:rFonts w:ascii="Times New Roman" w:hAnsi="Times New Roman" w:cs="Times New Roman"/>
          <w:sz w:val="24"/>
          <w:szCs w:val="24"/>
        </w:rPr>
        <w:t>.</w:t>
      </w:r>
      <w:r w:rsidRPr="00E533E0">
        <w:rPr>
          <w:rFonts w:ascii="Times New Roman" w:hAnsi="Times New Roman" w:cs="Times New Roman"/>
          <w:sz w:val="24"/>
          <w:szCs w:val="24"/>
        </w:rPr>
        <w:t xml:space="preserve"> «Соблюдение сроков формирования и представления в департамент финансов отчётности об исполнении бюджета».</w:t>
      </w:r>
    </w:p>
    <w:p w:rsidR="00D8189C" w:rsidRPr="00E533E0" w:rsidRDefault="00D8189C" w:rsidP="0018014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3E0">
        <w:rPr>
          <w:rFonts w:ascii="Times New Roman" w:hAnsi="Times New Roman" w:cs="Times New Roman"/>
          <w:sz w:val="24"/>
          <w:szCs w:val="24"/>
        </w:rPr>
        <w:t xml:space="preserve">Показатель характеризует своевременность </w:t>
      </w:r>
      <w:r w:rsidR="002440F4" w:rsidRPr="00E533E0">
        <w:rPr>
          <w:rFonts w:ascii="Times New Roman" w:hAnsi="Times New Roman" w:cs="Times New Roman"/>
          <w:sz w:val="24"/>
          <w:szCs w:val="24"/>
        </w:rPr>
        <w:t>формирования и представления в Д</w:t>
      </w:r>
      <w:r w:rsidRPr="00E533E0">
        <w:rPr>
          <w:rFonts w:ascii="Times New Roman" w:hAnsi="Times New Roman" w:cs="Times New Roman"/>
          <w:sz w:val="24"/>
          <w:szCs w:val="24"/>
        </w:rPr>
        <w:t>епартамент финансов отчётности об исполнении бюджета.</w:t>
      </w:r>
    </w:p>
    <w:p w:rsidR="00D8189C" w:rsidRPr="00E533E0" w:rsidRDefault="00D8189C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3E0">
        <w:rPr>
          <w:rFonts w:ascii="Times New Roman" w:hAnsi="Times New Roman" w:cs="Times New Roman"/>
          <w:sz w:val="24"/>
          <w:szCs w:val="24"/>
        </w:rPr>
        <w:t xml:space="preserve">Показатель по всем ГАБС оценен на 100,0 баллов. Сроки предоставления в </w:t>
      </w:r>
      <w:r w:rsidR="002440F4" w:rsidRPr="00E533E0">
        <w:rPr>
          <w:rFonts w:ascii="Times New Roman" w:hAnsi="Times New Roman" w:cs="Times New Roman"/>
          <w:sz w:val="24"/>
          <w:szCs w:val="24"/>
        </w:rPr>
        <w:t>Д</w:t>
      </w:r>
      <w:r w:rsidRPr="00E533E0">
        <w:rPr>
          <w:rFonts w:ascii="Times New Roman" w:hAnsi="Times New Roman" w:cs="Times New Roman"/>
          <w:sz w:val="24"/>
          <w:szCs w:val="24"/>
        </w:rPr>
        <w:t>епартамент финансов отчетности об исполнении бюджета города за 201</w:t>
      </w:r>
      <w:r w:rsidR="00180147" w:rsidRPr="00E533E0">
        <w:rPr>
          <w:rFonts w:ascii="Times New Roman" w:hAnsi="Times New Roman" w:cs="Times New Roman"/>
          <w:sz w:val="24"/>
          <w:szCs w:val="24"/>
        </w:rPr>
        <w:t>6</w:t>
      </w:r>
      <w:r w:rsidRPr="00E533E0">
        <w:rPr>
          <w:rFonts w:ascii="Times New Roman" w:hAnsi="Times New Roman" w:cs="Times New Roman"/>
          <w:sz w:val="24"/>
          <w:szCs w:val="24"/>
        </w:rPr>
        <w:t xml:space="preserve"> год соблюдены всеми ГАБС.</w:t>
      </w:r>
    </w:p>
    <w:p w:rsidR="00D8189C" w:rsidRPr="00E533E0" w:rsidRDefault="00D8189C" w:rsidP="007B0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33E0">
        <w:rPr>
          <w:rFonts w:ascii="Times New Roman" w:hAnsi="Times New Roman" w:cs="Times New Roman"/>
          <w:sz w:val="24"/>
          <w:szCs w:val="24"/>
        </w:rPr>
        <w:tab/>
        <w:t>2) Показатель 3.2</w:t>
      </w:r>
      <w:r w:rsidR="00C00A6C" w:rsidRPr="00E533E0">
        <w:rPr>
          <w:rFonts w:ascii="Times New Roman" w:hAnsi="Times New Roman" w:cs="Times New Roman"/>
          <w:sz w:val="24"/>
          <w:szCs w:val="24"/>
        </w:rPr>
        <w:t>.</w:t>
      </w:r>
      <w:r w:rsidRPr="00E533E0">
        <w:rPr>
          <w:rFonts w:ascii="Times New Roman" w:hAnsi="Times New Roman" w:cs="Times New Roman"/>
          <w:sz w:val="24"/>
          <w:szCs w:val="24"/>
        </w:rPr>
        <w:t xml:space="preserve"> «Качество представленной бюджетной отчетности».</w:t>
      </w:r>
    </w:p>
    <w:p w:rsidR="00024033" w:rsidRPr="00E533E0" w:rsidRDefault="00024033" w:rsidP="000240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3E0">
        <w:rPr>
          <w:rFonts w:ascii="Times New Roman" w:hAnsi="Times New Roman" w:cs="Times New Roman"/>
          <w:sz w:val="24"/>
          <w:szCs w:val="24"/>
        </w:rPr>
        <w:t>Показатель характеризует качество представления в Департамент финансов отчётности об исполнении бюджета.</w:t>
      </w:r>
    </w:p>
    <w:p w:rsidR="00024033" w:rsidRPr="00E533E0" w:rsidRDefault="00024033" w:rsidP="000240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3E0">
        <w:rPr>
          <w:rFonts w:ascii="Times New Roman" w:hAnsi="Times New Roman" w:cs="Times New Roman"/>
          <w:sz w:val="24"/>
          <w:szCs w:val="24"/>
        </w:rPr>
        <w:t>Показатель по всем ГАБС оценен на 100,0 баллов.</w:t>
      </w:r>
    </w:p>
    <w:p w:rsidR="006950AF" w:rsidRPr="00E533E0" w:rsidRDefault="006950AF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3E0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024033" w:rsidRPr="00E533E0">
        <w:rPr>
          <w:rFonts w:ascii="Times New Roman" w:hAnsi="Times New Roman" w:cs="Times New Roman"/>
          <w:sz w:val="24"/>
          <w:szCs w:val="24"/>
        </w:rPr>
        <w:t>100</w:t>
      </w:r>
      <w:r w:rsidR="00786901" w:rsidRPr="00E533E0">
        <w:rPr>
          <w:rFonts w:ascii="Times New Roman" w:hAnsi="Times New Roman" w:cs="Times New Roman"/>
          <w:sz w:val="24"/>
          <w:szCs w:val="24"/>
        </w:rPr>
        <w:t>,</w:t>
      </w:r>
      <w:r w:rsidR="00024033" w:rsidRPr="00E533E0">
        <w:rPr>
          <w:rFonts w:ascii="Times New Roman" w:hAnsi="Times New Roman" w:cs="Times New Roman"/>
          <w:sz w:val="24"/>
          <w:szCs w:val="24"/>
        </w:rPr>
        <w:t>0</w:t>
      </w:r>
      <w:r w:rsidRPr="00E533E0">
        <w:rPr>
          <w:rFonts w:ascii="Times New Roman" w:hAnsi="Times New Roman" w:cs="Times New Roman"/>
          <w:sz w:val="24"/>
          <w:szCs w:val="24"/>
        </w:rPr>
        <w:t xml:space="preserve"> баллов, что </w:t>
      </w:r>
      <w:r w:rsidR="00786901" w:rsidRPr="00E533E0">
        <w:rPr>
          <w:rFonts w:ascii="Times New Roman" w:hAnsi="Times New Roman" w:cs="Times New Roman"/>
          <w:sz w:val="24"/>
          <w:szCs w:val="24"/>
        </w:rPr>
        <w:t>выш</w:t>
      </w:r>
      <w:r w:rsidRPr="00E533E0">
        <w:rPr>
          <w:rFonts w:ascii="Times New Roman" w:hAnsi="Times New Roman" w:cs="Times New Roman"/>
          <w:sz w:val="24"/>
          <w:szCs w:val="24"/>
        </w:rPr>
        <w:t>е уровня за 201</w:t>
      </w:r>
      <w:r w:rsidR="004910B1" w:rsidRPr="00E533E0">
        <w:rPr>
          <w:rFonts w:ascii="Times New Roman" w:hAnsi="Times New Roman" w:cs="Times New Roman"/>
          <w:sz w:val="24"/>
          <w:szCs w:val="24"/>
        </w:rPr>
        <w:t>5</w:t>
      </w:r>
      <w:r w:rsidRPr="00E533E0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024033" w:rsidRPr="00E533E0">
        <w:rPr>
          <w:rFonts w:ascii="Times New Roman" w:hAnsi="Times New Roman" w:cs="Times New Roman"/>
          <w:sz w:val="24"/>
          <w:szCs w:val="24"/>
        </w:rPr>
        <w:t>9</w:t>
      </w:r>
      <w:r w:rsidR="00786901" w:rsidRPr="00E533E0">
        <w:rPr>
          <w:rFonts w:ascii="Times New Roman" w:hAnsi="Times New Roman" w:cs="Times New Roman"/>
          <w:sz w:val="24"/>
          <w:szCs w:val="24"/>
        </w:rPr>
        <w:t>,</w:t>
      </w:r>
      <w:r w:rsidR="00024033" w:rsidRPr="00E533E0">
        <w:rPr>
          <w:rFonts w:ascii="Times New Roman" w:hAnsi="Times New Roman" w:cs="Times New Roman"/>
          <w:sz w:val="24"/>
          <w:szCs w:val="24"/>
        </w:rPr>
        <w:t>1</w:t>
      </w:r>
      <w:r w:rsidRPr="00E533E0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4910B1" w:rsidRPr="00E533E0">
        <w:rPr>
          <w:rFonts w:ascii="Times New Roman" w:hAnsi="Times New Roman" w:cs="Times New Roman"/>
          <w:sz w:val="24"/>
          <w:szCs w:val="24"/>
        </w:rPr>
        <w:t xml:space="preserve"> (в 2015</w:t>
      </w:r>
      <w:r w:rsidRPr="00E533E0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4910B1" w:rsidRPr="00E533E0">
        <w:rPr>
          <w:rFonts w:ascii="Times New Roman" w:hAnsi="Times New Roman" w:cs="Times New Roman"/>
          <w:sz w:val="24"/>
          <w:szCs w:val="24"/>
        </w:rPr>
        <w:t>90,9</w:t>
      </w:r>
      <w:r w:rsidRPr="00E533E0">
        <w:rPr>
          <w:rFonts w:ascii="Times New Roman" w:hAnsi="Times New Roman" w:cs="Times New Roman"/>
          <w:sz w:val="24"/>
          <w:szCs w:val="24"/>
        </w:rPr>
        <w:t xml:space="preserve"> балл</w:t>
      </w:r>
      <w:r w:rsidR="008F5678">
        <w:rPr>
          <w:rFonts w:ascii="Times New Roman" w:hAnsi="Times New Roman" w:cs="Times New Roman"/>
          <w:sz w:val="24"/>
          <w:szCs w:val="24"/>
        </w:rPr>
        <w:t>ов</w:t>
      </w:r>
      <w:r w:rsidRPr="00E533E0">
        <w:rPr>
          <w:rFonts w:ascii="Times New Roman" w:hAnsi="Times New Roman" w:cs="Times New Roman"/>
          <w:sz w:val="24"/>
          <w:szCs w:val="24"/>
        </w:rPr>
        <w:t>).</w:t>
      </w:r>
    </w:p>
    <w:p w:rsidR="00054F96" w:rsidRPr="00E533E0" w:rsidRDefault="00D8189C" w:rsidP="007B0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4F96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E533E0">
        <w:rPr>
          <w:rFonts w:ascii="Times New Roman" w:hAnsi="Times New Roman" w:cs="Times New Roman"/>
          <w:sz w:val="24"/>
          <w:szCs w:val="24"/>
        </w:rPr>
        <w:t>3) Показатель 3.3</w:t>
      </w:r>
      <w:r w:rsidR="00054F96" w:rsidRPr="00E533E0">
        <w:rPr>
          <w:rFonts w:ascii="Times New Roman" w:hAnsi="Times New Roman" w:cs="Times New Roman"/>
          <w:sz w:val="24"/>
          <w:szCs w:val="24"/>
        </w:rPr>
        <w:t>.</w:t>
      </w:r>
      <w:r w:rsidRPr="00E533E0">
        <w:rPr>
          <w:rFonts w:ascii="Times New Roman" w:hAnsi="Times New Roman" w:cs="Times New Roman"/>
          <w:sz w:val="24"/>
          <w:szCs w:val="24"/>
        </w:rPr>
        <w:t xml:space="preserve"> «Соблюдение сроков представления в департамент финансов информаций, отчетов, аналитических данных по вопросам планирования и исполнения бюджета города».</w:t>
      </w:r>
    </w:p>
    <w:p w:rsidR="00D8189C" w:rsidRPr="00E533E0" w:rsidRDefault="00D8189C" w:rsidP="00054F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533E0">
        <w:rPr>
          <w:rFonts w:ascii="Times New Roman" w:hAnsi="Times New Roman" w:cs="Times New Roman"/>
          <w:sz w:val="24"/>
          <w:szCs w:val="24"/>
        </w:rPr>
        <w:t xml:space="preserve">Показатель характеризует своевременность представления в </w:t>
      </w:r>
      <w:r w:rsidR="002C0ABD" w:rsidRPr="00E533E0">
        <w:rPr>
          <w:rFonts w:ascii="Times New Roman" w:hAnsi="Times New Roman" w:cs="Times New Roman"/>
          <w:sz w:val="24"/>
          <w:szCs w:val="24"/>
        </w:rPr>
        <w:t>Д</w:t>
      </w:r>
      <w:r w:rsidRPr="00E533E0">
        <w:rPr>
          <w:rFonts w:ascii="Times New Roman" w:hAnsi="Times New Roman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</w:t>
      </w:r>
      <w:r w:rsidR="003D0E8A" w:rsidRPr="00E533E0">
        <w:rPr>
          <w:rFonts w:ascii="Times New Roman" w:hAnsi="Times New Roman" w:cs="Times New Roman"/>
          <w:sz w:val="24"/>
          <w:szCs w:val="24"/>
        </w:rPr>
        <w:t xml:space="preserve"> и отражает уровень ответственности и дисциплинированности ГАБС по соблюдению установленных сроков представления информаций, отчетов, аналитических данных за отчетный период</w:t>
      </w:r>
      <w:r w:rsidRPr="00E533E0">
        <w:rPr>
          <w:rFonts w:ascii="Times New Roman" w:hAnsi="Times New Roman" w:cs="Times New Roman"/>
          <w:sz w:val="24"/>
          <w:szCs w:val="24"/>
        </w:rPr>
        <w:t>.</w:t>
      </w:r>
      <w:r w:rsidR="002B545B" w:rsidRPr="00E533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01" w:rsidRPr="009200CE" w:rsidRDefault="00786901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00CE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9200CE" w:rsidRPr="009200CE">
        <w:rPr>
          <w:rFonts w:ascii="Times New Roman" w:hAnsi="Times New Roman" w:cs="Times New Roman"/>
          <w:sz w:val="24"/>
          <w:szCs w:val="24"/>
        </w:rPr>
        <w:t xml:space="preserve">68,7 </w:t>
      </w:r>
      <w:r w:rsidRPr="009200CE">
        <w:rPr>
          <w:rFonts w:ascii="Times New Roman" w:hAnsi="Times New Roman" w:cs="Times New Roman"/>
          <w:sz w:val="24"/>
          <w:szCs w:val="24"/>
        </w:rPr>
        <w:t xml:space="preserve">балла, что </w:t>
      </w:r>
      <w:r w:rsidR="009200CE" w:rsidRPr="009200CE">
        <w:rPr>
          <w:rFonts w:ascii="Times New Roman" w:hAnsi="Times New Roman" w:cs="Times New Roman"/>
          <w:sz w:val="24"/>
          <w:szCs w:val="24"/>
        </w:rPr>
        <w:t>ниже</w:t>
      </w:r>
      <w:r w:rsidRPr="009200CE">
        <w:rPr>
          <w:rFonts w:ascii="Times New Roman" w:hAnsi="Times New Roman" w:cs="Times New Roman"/>
          <w:sz w:val="24"/>
          <w:szCs w:val="24"/>
        </w:rPr>
        <w:t xml:space="preserve"> уровня за 201</w:t>
      </w:r>
      <w:r w:rsidR="00F2083C" w:rsidRPr="009200CE">
        <w:rPr>
          <w:rFonts w:ascii="Times New Roman" w:hAnsi="Times New Roman" w:cs="Times New Roman"/>
          <w:sz w:val="24"/>
          <w:szCs w:val="24"/>
        </w:rPr>
        <w:t>5</w:t>
      </w:r>
      <w:r w:rsidRPr="009200CE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9200CE" w:rsidRPr="009200CE">
        <w:rPr>
          <w:rFonts w:ascii="Times New Roman" w:hAnsi="Times New Roman" w:cs="Times New Roman"/>
          <w:sz w:val="24"/>
          <w:szCs w:val="24"/>
        </w:rPr>
        <w:t>4,3</w:t>
      </w:r>
      <w:r w:rsidRPr="009200CE">
        <w:rPr>
          <w:rFonts w:ascii="Times New Roman" w:hAnsi="Times New Roman" w:cs="Times New Roman"/>
          <w:sz w:val="24"/>
          <w:szCs w:val="24"/>
        </w:rPr>
        <w:t xml:space="preserve"> балл</w:t>
      </w:r>
      <w:r w:rsidR="008F5678">
        <w:rPr>
          <w:rFonts w:ascii="Times New Roman" w:hAnsi="Times New Roman" w:cs="Times New Roman"/>
          <w:sz w:val="24"/>
          <w:szCs w:val="24"/>
        </w:rPr>
        <w:t>а</w:t>
      </w:r>
      <w:r w:rsidRPr="009200CE">
        <w:rPr>
          <w:rFonts w:ascii="Times New Roman" w:hAnsi="Times New Roman" w:cs="Times New Roman"/>
          <w:sz w:val="24"/>
          <w:szCs w:val="24"/>
        </w:rPr>
        <w:t xml:space="preserve"> (в 201</w:t>
      </w:r>
      <w:r w:rsidR="00F2083C" w:rsidRPr="009200CE">
        <w:rPr>
          <w:rFonts w:ascii="Times New Roman" w:hAnsi="Times New Roman" w:cs="Times New Roman"/>
          <w:sz w:val="24"/>
          <w:szCs w:val="24"/>
        </w:rPr>
        <w:t>5</w:t>
      </w:r>
      <w:r w:rsidRPr="009200CE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F2083C" w:rsidRPr="009200CE">
        <w:rPr>
          <w:rFonts w:ascii="Times New Roman" w:hAnsi="Times New Roman" w:cs="Times New Roman"/>
          <w:sz w:val="24"/>
          <w:szCs w:val="24"/>
        </w:rPr>
        <w:t>73,0</w:t>
      </w:r>
      <w:r w:rsidRPr="009200CE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9200CE" w:rsidRPr="006174E5" w:rsidRDefault="00D8189C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4E5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247765" w:rsidRPr="006174E5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6174E5">
        <w:rPr>
          <w:rFonts w:ascii="Times New Roman" w:hAnsi="Times New Roman" w:cs="Times New Roman"/>
          <w:sz w:val="24"/>
          <w:szCs w:val="24"/>
        </w:rPr>
        <w:t xml:space="preserve">показателя 100,0 баллов </w:t>
      </w:r>
      <w:r w:rsidR="002B545B" w:rsidRPr="006174E5">
        <w:rPr>
          <w:rFonts w:ascii="Times New Roman" w:hAnsi="Times New Roman" w:cs="Times New Roman"/>
          <w:sz w:val="24"/>
          <w:szCs w:val="24"/>
        </w:rPr>
        <w:t xml:space="preserve">у </w:t>
      </w:r>
      <w:r w:rsidR="006174E5" w:rsidRPr="006174E5">
        <w:rPr>
          <w:rFonts w:ascii="Times New Roman" w:hAnsi="Times New Roman" w:cs="Times New Roman"/>
          <w:sz w:val="24"/>
          <w:szCs w:val="24"/>
        </w:rPr>
        <w:t>трех</w:t>
      </w:r>
      <w:r w:rsidR="002B545B" w:rsidRPr="006174E5">
        <w:rPr>
          <w:rFonts w:ascii="Times New Roman" w:hAnsi="Times New Roman" w:cs="Times New Roman"/>
          <w:sz w:val="24"/>
          <w:szCs w:val="24"/>
        </w:rPr>
        <w:t xml:space="preserve"> ГАБС (</w:t>
      </w:r>
      <w:r w:rsidR="006174E5" w:rsidRPr="006174E5">
        <w:rPr>
          <w:rFonts w:ascii="Times New Roman" w:hAnsi="Times New Roman" w:cs="Times New Roman"/>
          <w:sz w:val="24"/>
          <w:szCs w:val="24"/>
        </w:rPr>
        <w:t>27,3</w:t>
      </w:r>
      <w:r w:rsidR="002B545B" w:rsidRPr="006174E5">
        <w:rPr>
          <w:rFonts w:ascii="Times New Roman" w:hAnsi="Times New Roman" w:cs="Times New Roman"/>
          <w:sz w:val="24"/>
          <w:szCs w:val="24"/>
        </w:rPr>
        <w:t>% от общего количества оцениваемых ГАБС)</w:t>
      </w:r>
      <w:r w:rsidR="003D0E8A" w:rsidRPr="006174E5">
        <w:rPr>
          <w:rFonts w:ascii="Times New Roman" w:hAnsi="Times New Roman" w:cs="Times New Roman"/>
          <w:sz w:val="24"/>
          <w:szCs w:val="24"/>
        </w:rPr>
        <w:t>, представлявшим информации, отчеты, аналитические данные своевременно</w:t>
      </w:r>
      <w:r w:rsidR="002B545B" w:rsidRPr="006174E5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2B545B" w:rsidRPr="006174E5">
        <w:rPr>
          <w:rFonts w:ascii="Times New Roman" w:hAnsi="Times New Roman" w:cs="Times New Roman"/>
          <w:sz w:val="24"/>
          <w:szCs w:val="24"/>
        </w:rPr>
        <w:t xml:space="preserve"> Департамент финансов</w:t>
      </w:r>
      <w:r w:rsidR="006174E5" w:rsidRPr="006174E5">
        <w:rPr>
          <w:rFonts w:ascii="Times New Roman" w:hAnsi="Times New Roman" w:cs="Times New Roman"/>
          <w:sz w:val="24"/>
          <w:szCs w:val="24"/>
        </w:rPr>
        <w:t>, Дума</w:t>
      </w:r>
      <w:r w:rsidR="002B545B" w:rsidRPr="006174E5">
        <w:rPr>
          <w:rFonts w:ascii="Times New Roman" w:hAnsi="Times New Roman" w:cs="Times New Roman"/>
          <w:sz w:val="24"/>
          <w:szCs w:val="24"/>
        </w:rPr>
        <w:t xml:space="preserve"> и Управление экономической п</w:t>
      </w:r>
      <w:r w:rsidR="00F01A5B" w:rsidRPr="006174E5">
        <w:rPr>
          <w:rFonts w:ascii="Times New Roman" w:hAnsi="Times New Roman" w:cs="Times New Roman"/>
          <w:sz w:val="24"/>
          <w:szCs w:val="24"/>
        </w:rPr>
        <w:t>олитики (в отношении МАУ «</w:t>
      </w:r>
      <w:r w:rsidR="002B545B" w:rsidRPr="006174E5">
        <w:rPr>
          <w:rFonts w:ascii="Times New Roman" w:hAnsi="Times New Roman" w:cs="Times New Roman"/>
          <w:sz w:val="24"/>
          <w:szCs w:val="24"/>
        </w:rPr>
        <w:t>Многофункциональный центр предоставления государственных и муниципальных услуг</w:t>
      </w:r>
      <w:r w:rsidR="00F01A5B" w:rsidRPr="006174E5">
        <w:rPr>
          <w:rFonts w:ascii="Times New Roman" w:hAnsi="Times New Roman" w:cs="Times New Roman"/>
          <w:sz w:val="24"/>
          <w:szCs w:val="24"/>
        </w:rPr>
        <w:t>»</w:t>
      </w:r>
      <w:r w:rsidR="002B545B" w:rsidRPr="006174E5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D8189C" w:rsidRPr="006174E5" w:rsidRDefault="009200CE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174E5">
        <w:rPr>
          <w:rFonts w:ascii="Times New Roman" w:hAnsi="Times New Roman" w:cs="Times New Roman"/>
          <w:sz w:val="24"/>
          <w:szCs w:val="24"/>
        </w:rPr>
        <w:t xml:space="preserve">У Администрации города Югорска значение оценки показателя составило 90,3 балла. </w:t>
      </w:r>
      <w:r w:rsidR="00D8189C" w:rsidRPr="006174E5">
        <w:rPr>
          <w:rFonts w:ascii="Times New Roman" w:hAnsi="Times New Roman" w:cs="Times New Roman"/>
          <w:sz w:val="24"/>
          <w:szCs w:val="24"/>
        </w:rPr>
        <w:t xml:space="preserve">Оценка показателя по </w:t>
      </w:r>
      <w:r w:rsidR="003B2B03" w:rsidRPr="006174E5">
        <w:rPr>
          <w:rFonts w:ascii="Times New Roman" w:hAnsi="Times New Roman" w:cs="Times New Roman"/>
          <w:sz w:val="24"/>
          <w:szCs w:val="24"/>
        </w:rPr>
        <w:t>2</w:t>
      </w:r>
      <w:r w:rsidR="002B545B" w:rsidRPr="006174E5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6174E5">
        <w:rPr>
          <w:rFonts w:ascii="Times New Roman" w:hAnsi="Times New Roman" w:cs="Times New Roman"/>
          <w:sz w:val="24"/>
          <w:szCs w:val="24"/>
        </w:rPr>
        <w:t xml:space="preserve">ГАБС составила </w:t>
      </w:r>
      <w:r w:rsidR="003B2B03" w:rsidRPr="006174E5">
        <w:rPr>
          <w:rFonts w:ascii="Times New Roman" w:hAnsi="Times New Roman" w:cs="Times New Roman"/>
          <w:sz w:val="24"/>
          <w:szCs w:val="24"/>
        </w:rPr>
        <w:t>от 80,0 до 90,0</w:t>
      </w:r>
      <w:r w:rsidR="002B545B" w:rsidRPr="006174E5">
        <w:rPr>
          <w:rFonts w:ascii="Times New Roman" w:hAnsi="Times New Roman" w:cs="Times New Roman"/>
          <w:sz w:val="24"/>
          <w:szCs w:val="24"/>
        </w:rPr>
        <w:t xml:space="preserve"> баллов, но выше среднего значения по данному показателю:</w:t>
      </w:r>
    </w:p>
    <w:p w:rsidR="003B2B03" w:rsidRPr="006174E5" w:rsidRDefault="003B2B03" w:rsidP="007B032F">
      <w:pPr>
        <w:pStyle w:val="a3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174E5">
        <w:rPr>
          <w:color w:val="000000"/>
        </w:rPr>
        <w:t xml:space="preserve">Департамент </w:t>
      </w:r>
      <w:proofErr w:type="spellStart"/>
      <w:r w:rsidRPr="006174E5">
        <w:rPr>
          <w:color w:val="000000"/>
        </w:rPr>
        <w:t>жилищно</w:t>
      </w:r>
      <w:proofErr w:type="spellEnd"/>
      <w:r w:rsidRPr="006174E5">
        <w:rPr>
          <w:color w:val="000000"/>
        </w:rPr>
        <w:t xml:space="preserve"> – коммунального и строительного комплекса – 85,2 балл</w:t>
      </w:r>
      <w:r w:rsidR="00880813">
        <w:rPr>
          <w:color w:val="000000"/>
        </w:rPr>
        <w:t>а</w:t>
      </w:r>
      <w:r w:rsidRPr="006174E5">
        <w:rPr>
          <w:color w:val="000000"/>
        </w:rPr>
        <w:t>;</w:t>
      </w:r>
    </w:p>
    <w:p w:rsidR="003B2B03" w:rsidRPr="006174E5" w:rsidRDefault="003B2B03" w:rsidP="007B032F">
      <w:pPr>
        <w:pStyle w:val="a3"/>
        <w:numPr>
          <w:ilvl w:val="0"/>
          <w:numId w:val="13"/>
        </w:numPr>
        <w:spacing w:line="240" w:lineRule="auto"/>
        <w:ind w:left="0" w:firstLine="709"/>
        <w:rPr>
          <w:color w:val="000000"/>
        </w:rPr>
      </w:pPr>
      <w:r w:rsidRPr="006174E5">
        <w:rPr>
          <w:color w:val="000000"/>
        </w:rPr>
        <w:t>Департамент муниципальной собственности и градостроительства – 82,5 баллов.</w:t>
      </w:r>
    </w:p>
    <w:p w:rsidR="002B545B" w:rsidRPr="006174E5" w:rsidRDefault="002B545B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174E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Остальные </w:t>
      </w:r>
      <w:r w:rsidR="006174E5" w:rsidRPr="006174E5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174E5">
        <w:rPr>
          <w:rFonts w:ascii="Times New Roman" w:hAnsi="Times New Roman" w:cs="Times New Roman"/>
          <w:color w:val="000000"/>
          <w:sz w:val="24"/>
          <w:szCs w:val="24"/>
        </w:rPr>
        <w:t xml:space="preserve"> ГАБС или </w:t>
      </w:r>
      <w:r w:rsidR="006174E5" w:rsidRPr="006174E5">
        <w:rPr>
          <w:rFonts w:ascii="Times New Roman" w:hAnsi="Times New Roman" w:cs="Times New Roman"/>
          <w:color w:val="000000"/>
          <w:sz w:val="24"/>
          <w:szCs w:val="24"/>
        </w:rPr>
        <w:t>45,5</w:t>
      </w:r>
      <w:r w:rsidRPr="006174E5">
        <w:rPr>
          <w:rFonts w:ascii="Times New Roman" w:hAnsi="Times New Roman" w:cs="Times New Roman"/>
          <w:color w:val="000000"/>
          <w:sz w:val="24"/>
          <w:szCs w:val="24"/>
        </w:rPr>
        <w:t xml:space="preserve">% от общего количества оцениваемых ГАБС </w:t>
      </w:r>
      <w:r w:rsidR="00136CE7" w:rsidRPr="006174E5">
        <w:rPr>
          <w:rFonts w:ascii="Times New Roman" w:hAnsi="Times New Roman" w:cs="Times New Roman"/>
          <w:sz w:val="24"/>
          <w:szCs w:val="24"/>
        </w:rPr>
        <w:t xml:space="preserve">представляли информации, отчеты, аналитические данные с нарушением установленных сроков и </w:t>
      </w:r>
      <w:r w:rsidRPr="006174E5">
        <w:rPr>
          <w:rFonts w:ascii="Times New Roman" w:hAnsi="Times New Roman" w:cs="Times New Roman"/>
          <w:color w:val="000000"/>
          <w:sz w:val="24"/>
          <w:szCs w:val="24"/>
        </w:rPr>
        <w:t>набрали количество баллов ниже среднего:</w:t>
      </w:r>
    </w:p>
    <w:p w:rsidR="002B545B" w:rsidRPr="006174E5" w:rsidRDefault="003B2B03" w:rsidP="007B032F">
      <w:pPr>
        <w:pStyle w:val="a3"/>
        <w:numPr>
          <w:ilvl w:val="0"/>
          <w:numId w:val="14"/>
        </w:numPr>
        <w:spacing w:line="240" w:lineRule="auto"/>
        <w:ind w:left="0" w:firstLine="709"/>
        <w:rPr>
          <w:color w:val="000000"/>
        </w:rPr>
      </w:pPr>
      <w:r w:rsidRPr="006174E5">
        <w:rPr>
          <w:color w:val="000000"/>
        </w:rPr>
        <w:t>Управление образования – 51,5 баллов;</w:t>
      </w:r>
    </w:p>
    <w:p w:rsidR="002B545B" w:rsidRPr="006174E5" w:rsidRDefault="006174E5" w:rsidP="007B032F">
      <w:pPr>
        <w:pStyle w:val="a3"/>
        <w:numPr>
          <w:ilvl w:val="0"/>
          <w:numId w:val="14"/>
        </w:numPr>
        <w:spacing w:line="240" w:lineRule="auto"/>
        <w:ind w:left="0" w:firstLine="709"/>
        <w:rPr>
          <w:color w:val="000000"/>
        </w:rPr>
      </w:pPr>
      <w:r w:rsidRPr="006174E5">
        <w:rPr>
          <w:color w:val="000000"/>
        </w:rPr>
        <w:t>МКУ «Служба обеспечения органов местного самоуправления» - 40,0 баллов;</w:t>
      </w:r>
    </w:p>
    <w:p w:rsidR="002B545B" w:rsidRPr="006174E5" w:rsidRDefault="006174E5" w:rsidP="007B032F">
      <w:pPr>
        <w:pStyle w:val="a3"/>
        <w:numPr>
          <w:ilvl w:val="0"/>
          <w:numId w:val="14"/>
        </w:numPr>
        <w:spacing w:line="240" w:lineRule="auto"/>
        <w:ind w:left="0" w:firstLine="709"/>
        <w:rPr>
          <w:color w:val="000000"/>
        </w:rPr>
      </w:pPr>
      <w:r w:rsidRPr="006174E5">
        <w:rPr>
          <w:color w:val="000000"/>
        </w:rPr>
        <w:t>МКУ «Централизованная бухгалтерия» - 37,0 баллов;</w:t>
      </w:r>
    </w:p>
    <w:p w:rsidR="006174E5" w:rsidRPr="006174E5" w:rsidRDefault="006174E5" w:rsidP="007B032F">
      <w:pPr>
        <w:pStyle w:val="a3"/>
        <w:numPr>
          <w:ilvl w:val="0"/>
          <w:numId w:val="14"/>
        </w:numPr>
        <w:spacing w:line="240" w:lineRule="auto"/>
        <w:ind w:left="0" w:firstLine="709"/>
        <w:rPr>
          <w:color w:val="000000"/>
        </w:rPr>
      </w:pPr>
      <w:r w:rsidRPr="006174E5">
        <w:rPr>
          <w:color w:val="000000"/>
        </w:rPr>
        <w:t>Управление культуры – 35,3 балл</w:t>
      </w:r>
      <w:r w:rsidR="00880813">
        <w:rPr>
          <w:color w:val="000000"/>
        </w:rPr>
        <w:t>а</w:t>
      </w:r>
      <w:r w:rsidRPr="006174E5">
        <w:rPr>
          <w:color w:val="000000"/>
        </w:rPr>
        <w:t>;</w:t>
      </w:r>
    </w:p>
    <w:p w:rsidR="002B545B" w:rsidRPr="006174E5" w:rsidRDefault="002B545B" w:rsidP="007B032F">
      <w:pPr>
        <w:pStyle w:val="a3"/>
        <w:numPr>
          <w:ilvl w:val="0"/>
          <w:numId w:val="14"/>
        </w:numPr>
        <w:spacing w:line="240" w:lineRule="auto"/>
        <w:ind w:left="0" w:firstLine="709"/>
        <w:rPr>
          <w:color w:val="000000"/>
        </w:rPr>
      </w:pPr>
      <w:r w:rsidRPr="006174E5">
        <w:rPr>
          <w:color w:val="000000"/>
        </w:rPr>
        <w:t xml:space="preserve">Управление социальной политики – </w:t>
      </w:r>
      <w:r w:rsidR="006174E5" w:rsidRPr="006174E5">
        <w:rPr>
          <w:color w:val="000000"/>
        </w:rPr>
        <w:t>34,3 балл</w:t>
      </w:r>
      <w:r w:rsidR="00880813">
        <w:rPr>
          <w:color w:val="000000"/>
        </w:rPr>
        <w:t>а</w:t>
      </w:r>
      <w:r w:rsidR="006174E5" w:rsidRPr="006174E5">
        <w:rPr>
          <w:color w:val="000000"/>
        </w:rPr>
        <w:t>.</w:t>
      </w:r>
    </w:p>
    <w:p w:rsidR="000B23B2" w:rsidRPr="006B4AC4" w:rsidRDefault="00D8189C" w:rsidP="007B032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A75">
        <w:rPr>
          <w:rFonts w:ascii="Times New Roman" w:hAnsi="Times New Roman" w:cs="Times New Roman"/>
          <w:sz w:val="24"/>
          <w:szCs w:val="24"/>
        </w:rPr>
        <w:tab/>
      </w:r>
      <w:r w:rsidRPr="006B4AC4">
        <w:rPr>
          <w:rFonts w:ascii="Times New Roman" w:hAnsi="Times New Roman" w:cs="Times New Roman"/>
          <w:sz w:val="24"/>
          <w:szCs w:val="24"/>
        </w:rPr>
        <w:t>4) Показатель 3.4</w:t>
      </w:r>
      <w:r w:rsidR="005D0D02" w:rsidRPr="006B4AC4">
        <w:rPr>
          <w:rFonts w:ascii="Times New Roman" w:hAnsi="Times New Roman" w:cs="Times New Roman"/>
          <w:sz w:val="24"/>
          <w:szCs w:val="24"/>
        </w:rPr>
        <w:t>.</w:t>
      </w:r>
      <w:r w:rsidRPr="006B4AC4">
        <w:rPr>
          <w:rFonts w:ascii="Times New Roman" w:hAnsi="Times New Roman" w:cs="Times New Roman"/>
          <w:sz w:val="24"/>
          <w:szCs w:val="24"/>
        </w:rPr>
        <w:t xml:space="preserve"> «Наличие ошибок, достоверность информаций, отчетов, аналитических данных по вопросам планирования и исполнения бюджета города, представленных в департамент финансов».</w:t>
      </w:r>
    </w:p>
    <w:p w:rsidR="00786901" w:rsidRPr="006B4AC4" w:rsidRDefault="00D8189C" w:rsidP="000B23B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4">
        <w:rPr>
          <w:rFonts w:ascii="Times New Roman" w:hAnsi="Times New Roman" w:cs="Times New Roman"/>
          <w:sz w:val="24"/>
          <w:szCs w:val="24"/>
        </w:rPr>
        <w:t xml:space="preserve">Показатель характеризует качество представления в </w:t>
      </w:r>
      <w:r w:rsidR="002C0ABD" w:rsidRPr="006B4AC4">
        <w:rPr>
          <w:rFonts w:ascii="Times New Roman" w:hAnsi="Times New Roman" w:cs="Times New Roman"/>
          <w:sz w:val="24"/>
          <w:szCs w:val="24"/>
        </w:rPr>
        <w:t>Д</w:t>
      </w:r>
      <w:r w:rsidRPr="006B4AC4">
        <w:rPr>
          <w:rFonts w:ascii="Times New Roman" w:hAnsi="Times New Roman" w:cs="Times New Roman"/>
          <w:sz w:val="24"/>
          <w:szCs w:val="24"/>
        </w:rPr>
        <w:t>епартамент финансов информаций, отчетов, аналитических данных по вопросам планирования и исполнения бюджета города.</w:t>
      </w:r>
      <w:r w:rsidR="00D52ECB" w:rsidRPr="006B4A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6901" w:rsidRPr="006B4AC4" w:rsidRDefault="00786901" w:rsidP="007B03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4AC4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6B4AC4" w:rsidRPr="006B4AC4">
        <w:rPr>
          <w:rFonts w:ascii="Times New Roman" w:hAnsi="Times New Roman" w:cs="Times New Roman"/>
          <w:sz w:val="24"/>
          <w:szCs w:val="24"/>
        </w:rPr>
        <w:t>40,9</w:t>
      </w:r>
      <w:r w:rsidRPr="006B4AC4">
        <w:rPr>
          <w:rFonts w:ascii="Times New Roman" w:hAnsi="Times New Roman" w:cs="Times New Roman"/>
          <w:sz w:val="24"/>
          <w:szCs w:val="24"/>
        </w:rPr>
        <w:t xml:space="preserve"> балл</w:t>
      </w:r>
      <w:r w:rsidR="00880813">
        <w:rPr>
          <w:rFonts w:ascii="Times New Roman" w:hAnsi="Times New Roman" w:cs="Times New Roman"/>
          <w:sz w:val="24"/>
          <w:szCs w:val="24"/>
        </w:rPr>
        <w:t>ов</w:t>
      </w:r>
      <w:r w:rsidRPr="006B4AC4">
        <w:rPr>
          <w:rFonts w:ascii="Times New Roman" w:hAnsi="Times New Roman" w:cs="Times New Roman"/>
          <w:sz w:val="24"/>
          <w:szCs w:val="24"/>
        </w:rPr>
        <w:t>, что выше уровня за 201</w:t>
      </w:r>
      <w:r w:rsidR="00A72C74" w:rsidRPr="006B4AC4">
        <w:rPr>
          <w:rFonts w:ascii="Times New Roman" w:hAnsi="Times New Roman" w:cs="Times New Roman"/>
          <w:sz w:val="24"/>
          <w:szCs w:val="24"/>
        </w:rPr>
        <w:t>5</w:t>
      </w:r>
      <w:r w:rsidRPr="006B4AC4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6B4AC4" w:rsidRPr="006B4AC4">
        <w:rPr>
          <w:rFonts w:ascii="Times New Roman" w:hAnsi="Times New Roman" w:cs="Times New Roman"/>
          <w:sz w:val="24"/>
          <w:szCs w:val="24"/>
        </w:rPr>
        <w:t>4,5</w:t>
      </w:r>
      <w:r w:rsidRPr="006B4AC4">
        <w:rPr>
          <w:rFonts w:ascii="Times New Roman" w:hAnsi="Times New Roman" w:cs="Times New Roman"/>
          <w:sz w:val="24"/>
          <w:szCs w:val="24"/>
        </w:rPr>
        <w:t xml:space="preserve"> </w:t>
      </w:r>
      <w:r w:rsidR="00A72C74" w:rsidRPr="006B4AC4">
        <w:rPr>
          <w:rFonts w:ascii="Times New Roman" w:hAnsi="Times New Roman" w:cs="Times New Roman"/>
          <w:sz w:val="24"/>
          <w:szCs w:val="24"/>
        </w:rPr>
        <w:t>баллов (в 2015</w:t>
      </w:r>
      <w:r w:rsidRPr="006B4AC4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данному показателю составляла </w:t>
      </w:r>
      <w:r w:rsidR="00A72C74" w:rsidRPr="006B4AC4">
        <w:rPr>
          <w:rFonts w:ascii="Times New Roman" w:hAnsi="Times New Roman" w:cs="Times New Roman"/>
          <w:sz w:val="24"/>
          <w:szCs w:val="24"/>
        </w:rPr>
        <w:t>36,4</w:t>
      </w:r>
      <w:r w:rsidRPr="006B4AC4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D8189C" w:rsidRPr="00880813" w:rsidRDefault="00D8189C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80813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247765" w:rsidRPr="00880813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880813">
        <w:rPr>
          <w:rFonts w:ascii="Times New Roman" w:hAnsi="Times New Roman" w:cs="Times New Roman"/>
          <w:sz w:val="24"/>
          <w:szCs w:val="24"/>
        </w:rPr>
        <w:t>показателя составило 100,0 баллов у Департамента финансов администрации города Югорска</w:t>
      </w:r>
      <w:r w:rsidR="006B4AC4" w:rsidRPr="00880813">
        <w:rPr>
          <w:rFonts w:ascii="Times New Roman" w:hAnsi="Times New Roman" w:cs="Times New Roman"/>
          <w:sz w:val="24"/>
          <w:szCs w:val="24"/>
        </w:rPr>
        <w:t>, Думы города Югорска</w:t>
      </w:r>
      <w:r w:rsidRPr="00880813">
        <w:rPr>
          <w:rFonts w:ascii="Times New Roman" w:hAnsi="Times New Roman" w:cs="Times New Roman"/>
          <w:sz w:val="24"/>
          <w:szCs w:val="24"/>
        </w:rPr>
        <w:t xml:space="preserve"> и </w:t>
      </w:r>
      <w:r w:rsidR="00247765" w:rsidRPr="00880813">
        <w:rPr>
          <w:rFonts w:ascii="Times New Roman" w:hAnsi="Times New Roman" w:cs="Times New Roman"/>
          <w:sz w:val="24"/>
          <w:szCs w:val="24"/>
        </w:rPr>
        <w:t>Управления экономической политики (в отношении МАУ «Многофункциональный центр предоставления государственных и муниципальных услуг»)</w:t>
      </w:r>
      <w:r w:rsidRPr="00880813">
        <w:rPr>
          <w:rFonts w:ascii="Times New Roman" w:hAnsi="Times New Roman" w:cs="Times New Roman"/>
          <w:sz w:val="24"/>
          <w:szCs w:val="24"/>
        </w:rPr>
        <w:t>.</w:t>
      </w:r>
    </w:p>
    <w:p w:rsidR="00541784" w:rsidRPr="006B4AC4" w:rsidRDefault="007B032F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4">
        <w:rPr>
          <w:rFonts w:ascii="Times New Roman" w:hAnsi="Times New Roman" w:cs="Times New Roman"/>
          <w:sz w:val="24"/>
          <w:szCs w:val="24"/>
        </w:rPr>
        <w:t>О</w:t>
      </w:r>
      <w:r w:rsidR="00541784" w:rsidRPr="006B4AC4">
        <w:rPr>
          <w:rFonts w:ascii="Times New Roman" w:hAnsi="Times New Roman" w:cs="Times New Roman"/>
          <w:sz w:val="24"/>
          <w:szCs w:val="24"/>
        </w:rPr>
        <w:t>ценк</w:t>
      </w:r>
      <w:r w:rsidRPr="006B4AC4">
        <w:rPr>
          <w:rFonts w:ascii="Times New Roman" w:hAnsi="Times New Roman" w:cs="Times New Roman"/>
          <w:sz w:val="24"/>
          <w:szCs w:val="24"/>
        </w:rPr>
        <w:t>у</w:t>
      </w:r>
      <w:r w:rsidR="00541784" w:rsidRPr="006B4AC4">
        <w:rPr>
          <w:rFonts w:ascii="Times New Roman" w:hAnsi="Times New Roman" w:cs="Times New Roman"/>
          <w:sz w:val="24"/>
          <w:szCs w:val="24"/>
        </w:rPr>
        <w:t xml:space="preserve"> </w:t>
      </w:r>
      <w:r w:rsidR="00D8189C" w:rsidRPr="006B4AC4">
        <w:rPr>
          <w:rFonts w:ascii="Times New Roman" w:hAnsi="Times New Roman" w:cs="Times New Roman"/>
          <w:sz w:val="24"/>
          <w:szCs w:val="24"/>
        </w:rPr>
        <w:t xml:space="preserve">показателя 50,0 баллов </w:t>
      </w:r>
      <w:r w:rsidRPr="006B4AC4">
        <w:rPr>
          <w:rFonts w:ascii="Times New Roman" w:hAnsi="Times New Roman" w:cs="Times New Roman"/>
          <w:sz w:val="24"/>
          <w:szCs w:val="24"/>
        </w:rPr>
        <w:t>получили</w:t>
      </w:r>
      <w:r w:rsidR="00D8189C" w:rsidRPr="006B4AC4">
        <w:rPr>
          <w:rFonts w:ascii="Times New Roman" w:hAnsi="Times New Roman" w:cs="Times New Roman"/>
          <w:sz w:val="24"/>
          <w:szCs w:val="24"/>
        </w:rPr>
        <w:t xml:space="preserve"> </w:t>
      </w:r>
      <w:r w:rsidR="006B4AC4" w:rsidRPr="006B4AC4">
        <w:rPr>
          <w:rFonts w:ascii="Times New Roman" w:hAnsi="Times New Roman" w:cs="Times New Roman"/>
          <w:sz w:val="24"/>
          <w:szCs w:val="24"/>
        </w:rPr>
        <w:t>3</w:t>
      </w:r>
      <w:r w:rsidR="00541784" w:rsidRPr="006B4AC4">
        <w:rPr>
          <w:rFonts w:ascii="Times New Roman" w:hAnsi="Times New Roman" w:cs="Times New Roman"/>
          <w:sz w:val="24"/>
          <w:szCs w:val="24"/>
        </w:rPr>
        <w:t xml:space="preserve"> ГАБС: Администрация города Югорска, Департамент жилищно-коммунального </w:t>
      </w:r>
      <w:r w:rsidR="00BE757D" w:rsidRPr="006B4AC4">
        <w:rPr>
          <w:rFonts w:ascii="Times New Roman" w:hAnsi="Times New Roman" w:cs="Times New Roman"/>
          <w:sz w:val="24"/>
          <w:szCs w:val="24"/>
        </w:rPr>
        <w:t>и строительного комплекса,</w:t>
      </w:r>
      <w:r w:rsidR="00BF1809">
        <w:rPr>
          <w:rFonts w:ascii="Times New Roman" w:hAnsi="Times New Roman" w:cs="Times New Roman"/>
          <w:sz w:val="24"/>
          <w:szCs w:val="24"/>
        </w:rPr>
        <w:t xml:space="preserve"> </w:t>
      </w:r>
      <w:r w:rsidR="006B4AC4" w:rsidRPr="006B4AC4">
        <w:rPr>
          <w:rFonts w:ascii="Times New Roman" w:hAnsi="Times New Roman" w:cs="Times New Roman"/>
          <w:sz w:val="24"/>
          <w:szCs w:val="24"/>
        </w:rPr>
        <w:t>Департамент муниципальной собственности и градостроительства</w:t>
      </w:r>
      <w:r w:rsidR="00541784" w:rsidRPr="006B4AC4">
        <w:rPr>
          <w:rFonts w:ascii="Times New Roman" w:hAnsi="Times New Roman" w:cs="Times New Roman"/>
          <w:sz w:val="24"/>
          <w:szCs w:val="24"/>
        </w:rPr>
        <w:t xml:space="preserve">. Доля </w:t>
      </w:r>
      <w:r w:rsidRPr="006B4AC4">
        <w:rPr>
          <w:rFonts w:ascii="Times New Roman" w:hAnsi="Times New Roman" w:cs="Times New Roman"/>
          <w:sz w:val="24"/>
          <w:szCs w:val="24"/>
        </w:rPr>
        <w:t xml:space="preserve">информаций, отчетов, аналитических данных по вопросам планирования и исполнения бюджета города, представленных ими в </w:t>
      </w:r>
      <w:r w:rsidR="002C0ABD" w:rsidRPr="006B4AC4">
        <w:rPr>
          <w:rFonts w:ascii="Times New Roman" w:hAnsi="Times New Roman" w:cs="Times New Roman"/>
          <w:sz w:val="24"/>
          <w:szCs w:val="24"/>
        </w:rPr>
        <w:t>Д</w:t>
      </w:r>
      <w:r w:rsidRPr="006B4AC4">
        <w:rPr>
          <w:rFonts w:ascii="Times New Roman" w:hAnsi="Times New Roman" w:cs="Times New Roman"/>
          <w:sz w:val="24"/>
          <w:szCs w:val="24"/>
        </w:rPr>
        <w:t xml:space="preserve">епартамент финансов без ошибок и не отправленных на доработку в общем количестве информаций, отчетов, аналитических данных по вопросам планирования и исполнения бюджета города, запрашиваемых </w:t>
      </w:r>
      <w:r w:rsidR="002C0ABD" w:rsidRPr="006B4AC4">
        <w:rPr>
          <w:rFonts w:ascii="Times New Roman" w:hAnsi="Times New Roman" w:cs="Times New Roman"/>
          <w:sz w:val="24"/>
          <w:szCs w:val="24"/>
        </w:rPr>
        <w:t>Д</w:t>
      </w:r>
      <w:r w:rsidRPr="006B4AC4">
        <w:rPr>
          <w:rFonts w:ascii="Times New Roman" w:hAnsi="Times New Roman" w:cs="Times New Roman"/>
          <w:sz w:val="24"/>
          <w:szCs w:val="24"/>
        </w:rPr>
        <w:t xml:space="preserve">епартаментом финансов, у данных ГАБС составила не более 80%. </w:t>
      </w:r>
    </w:p>
    <w:p w:rsidR="00D8189C" w:rsidRPr="006B4AC4" w:rsidRDefault="00D8189C" w:rsidP="007B03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4AC4">
        <w:rPr>
          <w:rFonts w:ascii="Times New Roman" w:hAnsi="Times New Roman" w:cs="Times New Roman"/>
          <w:sz w:val="24"/>
          <w:szCs w:val="24"/>
        </w:rPr>
        <w:t xml:space="preserve">Оценка показателя по </w:t>
      </w:r>
      <w:r w:rsidR="00247765" w:rsidRPr="006B4AC4">
        <w:rPr>
          <w:rFonts w:ascii="Times New Roman" w:hAnsi="Times New Roman" w:cs="Times New Roman"/>
          <w:sz w:val="24"/>
          <w:szCs w:val="24"/>
        </w:rPr>
        <w:t>остальным 5</w:t>
      </w:r>
      <w:r w:rsidRPr="006B4AC4">
        <w:rPr>
          <w:rFonts w:ascii="Times New Roman" w:hAnsi="Times New Roman" w:cs="Times New Roman"/>
          <w:sz w:val="24"/>
          <w:szCs w:val="24"/>
        </w:rPr>
        <w:t xml:space="preserve"> ГАБС </w:t>
      </w:r>
      <w:r w:rsidR="00541784" w:rsidRPr="006B4AC4">
        <w:rPr>
          <w:rFonts w:ascii="Times New Roman" w:hAnsi="Times New Roman" w:cs="Times New Roman"/>
          <w:sz w:val="24"/>
          <w:szCs w:val="24"/>
        </w:rPr>
        <w:t xml:space="preserve">(45,5% от общего количества оцениваемых ГАБС) </w:t>
      </w:r>
      <w:r w:rsidRPr="006B4AC4">
        <w:rPr>
          <w:rFonts w:ascii="Times New Roman" w:hAnsi="Times New Roman" w:cs="Times New Roman"/>
          <w:sz w:val="24"/>
          <w:szCs w:val="24"/>
        </w:rPr>
        <w:t>составила 0,0 баллов</w:t>
      </w:r>
      <w:r w:rsidR="00541784" w:rsidRPr="006B4AC4">
        <w:rPr>
          <w:rFonts w:ascii="Times New Roman" w:hAnsi="Times New Roman" w:cs="Times New Roman"/>
          <w:sz w:val="24"/>
          <w:szCs w:val="24"/>
        </w:rPr>
        <w:t xml:space="preserve">: </w:t>
      </w:r>
      <w:r w:rsidR="006B4AC4" w:rsidRPr="006B4AC4">
        <w:rPr>
          <w:rFonts w:ascii="Times New Roman" w:hAnsi="Times New Roman" w:cs="Times New Roman"/>
          <w:sz w:val="24"/>
          <w:szCs w:val="24"/>
        </w:rPr>
        <w:t>МКУ «Служба обеспечения органов местного самоуправления», МКУ «Централизованная бухгалтерия»</w:t>
      </w:r>
      <w:r w:rsidR="00541784" w:rsidRPr="006B4AC4">
        <w:rPr>
          <w:rFonts w:ascii="Times New Roman" w:hAnsi="Times New Roman" w:cs="Times New Roman"/>
          <w:sz w:val="24"/>
          <w:szCs w:val="24"/>
        </w:rPr>
        <w:t>, Управление образования, Управление культуры, Управление социальной политики</w:t>
      </w:r>
      <w:r w:rsidR="006B4AC4" w:rsidRPr="006B4AC4">
        <w:rPr>
          <w:rFonts w:ascii="Times New Roman" w:hAnsi="Times New Roman" w:cs="Times New Roman"/>
          <w:sz w:val="24"/>
          <w:szCs w:val="24"/>
        </w:rPr>
        <w:t>.</w:t>
      </w:r>
      <w:r w:rsidR="00247765" w:rsidRPr="006B4AC4">
        <w:rPr>
          <w:rFonts w:ascii="Times New Roman" w:hAnsi="Times New Roman" w:cs="Times New Roman"/>
          <w:sz w:val="24"/>
          <w:szCs w:val="24"/>
        </w:rPr>
        <w:t xml:space="preserve"> Представленные данными ГАБС в </w:t>
      </w:r>
      <w:r w:rsidR="002C0ABD" w:rsidRPr="006B4AC4">
        <w:rPr>
          <w:rFonts w:ascii="Times New Roman" w:hAnsi="Times New Roman" w:cs="Times New Roman"/>
          <w:sz w:val="24"/>
          <w:szCs w:val="24"/>
        </w:rPr>
        <w:t>Д</w:t>
      </w:r>
      <w:r w:rsidR="00247765" w:rsidRPr="006B4AC4">
        <w:rPr>
          <w:rFonts w:ascii="Times New Roman" w:hAnsi="Times New Roman" w:cs="Times New Roman"/>
          <w:sz w:val="24"/>
          <w:szCs w:val="24"/>
        </w:rPr>
        <w:t xml:space="preserve">епартамент финансов информации, отчеты, аналитические данные по вопросам планирования и исполнения бюджета города </w:t>
      </w:r>
      <w:r w:rsidR="00541784" w:rsidRPr="006B4AC4">
        <w:rPr>
          <w:rFonts w:ascii="Times New Roman" w:hAnsi="Times New Roman" w:cs="Times New Roman"/>
          <w:sz w:val="24"/>
          <w:szCs w:val="24"/>
        </w:rPr>
        <w:t>содержали большое количество ошибок, неоднократно отправлялись на доработку.</w:t>
      </w:r>
    </w:p>
    <w:p w:rsidR="007B032F" w:rsidRPr="009A1A75" w:rsidRDefault="007B032F" w:rsidP="00F30DDF">
      <w:pPr>
        <w:spacing w:after="0" w:line="240" w:lineRule="auto"/>
        <w:jc w:val="center"/>
        <w:rPr>
          <w:b/>
          <w:color w:val="000000"/>
          <w:sz w:val="24"/>
          <w:szCs w:val="24"/>
        </w:rPr>
      </w:pPr>
    </w:p>
    <w:p w:rsidR="00D8189C" w:rsidRPr="00BF1809" w:rsidRDefault="00D8189C" w:rsidP="00F30DD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809">
        <w:rPr>
          <w:rFonts w:ascii="Times New Roman" w:hAnsi="Times New Roman" w:cs="Times New Roman"/>
          <w:b/>
          <w:sz w:val="24"/>
          <w:szCs w:val="24"/>
        </w:rPr>
        <w:t>4. Оценка исполнения судебных актов</w:t>
      </w:r>
    </w:p>
    <w:p w:rsidR="00F30DDF" w:rsidRPr="00BF1809" w:rsidRDefault="00F30DDF" w:rsidP="003B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6015" w:rsidRPr="00BF1809" w:rsidRDefault="003B6015" w:rsidP="003B60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Для расчёта показателей Мониторинга в части исполнения бюджета использовались данные о судебных </w:t>
      </w:r>
      <w:proofErr w:type="gramStart"/>
      <w:r w:rsidRPr="00BF1809">
        <w:rPr>
          <w:rFonts w:ascii="Times New Roman" w:hAnsi="Times New Roman" w:cs="Times New Roman"/>
          <w:sz w:val="24"/>
          <w:szCs w:val="24"/>
        </w:rPr>
        <w:t>актах</w:t>
      </w:r>
      <w:proofErr w:type="gramEnd"/>
      <w:r w:rsidRPr="00BF1809">
        <w:rPr>
          <w:rFonts w:ascii="Times New Roman" w:hAnsi="Times New Roman" w:cs="Times New Roman"/>
          <w:sz w:val="24"/>
          <w:szCs w:val="24"/>
        </w:rPr>
        <w:t xml:space="preserve"> о возмещении ущерба в результате незаконных действий или бездействий ГАБС и (или) его должностных лиц, о предъявленных к взысканию исполнительных документов.</w:t>
      </w:r>
    </w:p>
    <w:p w:rsidR="003401F6" w:rsidRPr="00BF1809" w:rsidRDefault="00EC360B" w:rsidP="003401F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Средняя балльная оценка по </w:t>
      </w:r>
      <w:r w:rsidR="004D3CBD" w:rsidRPr="00BF1809">
        <w:rPr>
          <w:rFonts w:ascii="Times New Roman" w:hAnsi="Times New Roman" w:cs="Times New Roman"/>
          <w:sz w:val="24"/>
          <w:szCs w:val="24"/>
        </w:rPr>
        <w:t>4-й</w:t>
      </w:r>
      <w:r w:rsidRPr="00BF1809">
        <w:rPr>
          <w:rFonts w:ascii="Times New Roman" w:hAnsi="Times New Roman" w:cs="Times New Roman"/>
          <w:sz w:val="24"/>
          <w:szCs w:val="24"/>
        </w:rPr>
        <w:t xml:space="preserve"> группе показателей составила </w:t>
      </w:r>
      <w:r w:rsidR="00B01B40" w:rsidRPr="00BF1809">
        <w:rPr>
          <w:rFonts w:ascii="Times New Roman" w:hAnsi="Times New Roman" w:cs="Times New Roman"/>
          <w:sz w:val="24"/>
          <w:szCs w:val="24"/>
        </w:rPr>
        <w:t>100</w:t>
      </w:r>
      <w:r w:rsidRPr="00BF1809">
        <w:rPr>
          <w:rFonts w:ascii="Times New Roman" w:hAnsi="Times New Roman" w:cs="Times New Roman"/>
          <w:sz w:val="24"/>
          <w:szCs w:val="24"/>
        </w:rPr>
        <w:t>,0 балл</w:t>
      </w:r>
      <w:r w:rsidR="00B01B40" w:rsidRPr="00BF1809">
        <w:rPr>
          <w:rFonts w:ascii="Times New Roman" w:hAnsi="Times New Roman" w:cs="Times New Roman"/>
          <w:sz w:val="24"/>
          <w:szCs w:val="24"/>
        </w:rPr>
        <w:t>ов по 100-балльной шкале</w:t>
      </w:r>
      <w:r w:rsidR="00B9599B" w:rsidRPr="00BF1809">
        <w:rPr>
          <w:rFonts w:ascii="Times New Roman" w:hAnsi="Times New Roman" w:cs="Times New Roman"/>
          <w:sz w:val="24"/>
          <w:szCs w:val="24"/>
        </w:rPr>
        <w:t xml:space="preserve"> (в 2015</w:t>
      </w:r>
      <w:r w:rsidR="003401F6" w:rsidRPr="00BF1809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 группе показателей составляла также 100,0 баллов).</w:t>
      </w:r>
    </w:p>
    <w:p w:rsidR="00B01B40" w:rsidRPr="00BF1809" w:rsidRDefault="00B01B40" w:rsidP="00B01B4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Всем </w:t>
      </w:r>
      <w:r w:rsidR="004E4B91" w:rsidRPr="00BF1809">
        <w:rPr>
          <w:rFonts w:ascii="Times New Roman" w:hAnsi="Times New Roman" w:cs="Times New Roman"/>
          <w:sz w:val="24"/>
          <w:szCs w:val="24"/>
        </w:rPr>
        <w:t xml:space="preserve">11 </w:t>
      </w:r>
      <w:r w:rsidRPr="00BF1809">
        <w:rPr>
          <w:rFonts w:ascii="Times New Roman" w:hAnsi="Times New Roman" w:cs="Times New Roman"/>
          <w:sz w:val="24"/>
          <w:szCs w:val="24"/>
        </w:rPr>
        <w:t>Г</w:t>
      </w:r>
      <w:r w:rsidR="004E4B91" w:rsidRPr="00BF1809">
        <w:rPr>
          <w:rFonts w:ascii="Times New Roman" w:hAnsi="Times New Roman" w:cs="Times New Roman"/>
          <w:sz w:val="24"/>
          <w:szCs w:val="24"/>
        </w:rPr>
        <w:t>А</w:t>
      </w:r>
      <w:r w:rsidRPr="00BF1809">
        <w:rPr>
          <w:rFonts w:ascii="Times New Roman" w:hAnsi="Times New Roman" w:cs="Times New Roman"/>
          <w:sz w:val="24"/>
          <w:szCs w:val="24"/>
        </w:rPr>
        <w:t>БС присвоена максимальная оценка – 100 баллов.</w:t>
      </w:r>
    </w:p>
    <w:p w:rsidR="00EC360B" w:rsidRPr="009A1A75" w:rsidRDefault="00EC360B" w:rsidP="00D8189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8189C" w:rsidRPr="009A1A75" w:rsidRDefault="00200099" w:rsidP="00200099">
      <w:pPr>
        <w:jc w:val="both"/>
        <w:rPr>
          <w:color w:val="FF0000"/>
          <w:sz w:val="24"/>
          <w:szCs w:val="24"/>
        </w:rPr>
      </w:pPr>
      <w:r w:rsidRPr="009A1A75">
        <w:rPr>
          <w:noProof/>
          <w:color w:val="FF0000"/>
          <w:sz w:val="24"/>
          <w:szCs w:val="24"/>
        </w:rPr>
        <w:lastRenderedPageBreak/>
        <w:drawing>
          <wp:inline distT="0" distB="0" distL="0" distR="0">
            <wp:extent cx="6433509" cy="2665563"/>
            <wp:effectExtent l="19050" t="0" r="24441" b="0"/>
            <wp:docPr id="15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D8189C" w:rsidRPr="00BF1809" w:rsidRDefault="00D8189C" w:rsidP="004E4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Оценка результатов исполнения </w:t>
      </w:r>
      <w:r w:rsidR="00CB10D7" w:rsidRPr="00BF1809">
        <w:rPr>
          <w:rFonts w:ascii="Times New Roman" w:hAnsi="Times New Roman" w:cs="Times New Roman"/>
          <w:sz w:val="24"/>
          <w:szCs w:val="24"/>
        </w:rPr>
        <w:t>судебных актов</w:t>
      </w:r>
      <w:r w:rsidRPr="00BF1809">
        <w:rPr>
          <w:rFonts w:ascii="Times New Roman" w:hAnsi="Times New Roman" w:cs="Times New Roman"/>
          <w:sz w:val="24"/>
          <w:szCs w:val="24"/>
        </w:rPr>
        <w:t xml:space="preserve"> проведена по двум показателям:</w:t>
      </w:r>
    </w:p>
    <w:p w:rsidR="00D8189C" w:rsidRPr="00BF1809" w:rsidRDefault="00D8189C" w:rsidP="004E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ab/>
        <w:t>1) Показатель 4.1</w:t>
      </w:r>
      <w:r w:rsidR="000E2C49" w:rsidRPr="00BF1809">
        <w:rPr>
          <w:rFonts w:ascii="Times New Roman" w:hAnsi="Times New Roman" w:cs="Times New Roman"/>
          <w:sz w:val="24"/>
          <w:szCs w:val="24"/>
        </w:rPr>
        <w:t>.</w:t>
      </w:r>
      <w:r w:rsidRPr="00BF1809">
        <w:rPr>
          <w:rFonts w:ascii="Times New Roman" w:hAnsi="Times New Roman" w:cs="Times New Roman"/>
          <w:sz w:val="24"/>
          <w:szCs w:val="24"/>
        </w:rPr>
        <w:t xml:space="preserve"> «Наличие предъявленных к оплате за счёт средств местного бюджета судебных актов о возмещении ущерба в результате незаконных действий или бездействий ГАБС и (или) его должностных лиц».</w:t>
      </w:r>
    </w:p>
    <w:p w:rsidR="00D8189C" w:rsidRPr="00BF1809" w:rsidRDefault="00D8189C" w:rsidP="004E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ab/>
        <w:t>Показатель характеризует качество выполняемых функций ГАБС и наличие/отсутствие судебных актов, предъявленных к оплате за счёт средств местного бюджета, о возмещении ущерба в результате незаконных действий или бездействий ГАБС и (или) его должностных лиц.</w:t>
      </w:r>
    </w:p>
    <w:p w:rsidR="00D8189C" w:rsidRPr="00BF1809" w:rsidRDefault="00D8189C" w:rsidP="004E4B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Показатель по всем ГАБС оценен на 100,0 баллов. Отсутств</w:t>
      </w:r>
      <w:r w:rsidR="00CB10D7" w:rsidRPr="00BF1809">
        <w:rPr>
          <w:rFonts w:ascii="Times New Roman" w:hAnsi="Times New Roman" w:cs="Times New Roman"/>
          <w:sz w:val="24"/>
          <w:szCs w:val="24"/>
        </w:rPr>
        <w:t>у</w:t>
      </w:r>
      <w:r w:rsidRPr="00BF1809">
        <w:rPr>
          <w:rFonts w:ascii="Times New Roman" w:hAnsi="Times New Roman" w:cs="Times New Roman"/>
          <w:sz w:val="24"/>
          <w:szCs w:val="24"/>
        </w:rPr>
        <w:t xml:space="preserve">ют </w:t>
      </w:r>
      <w:proofErr w:type="gramStart"/>
      <w:r w:rsidRPr="00BF1809">
        <w:rPr>
          <w:rFonts w:ascii="Times New Roman" w:hAnsi="Times New Roman" w:cs="Times New Roman"/>
          <w:sz w:val="24"/>
          <w:szCs w:val="24"/>
        </w:rPr>
        <w:t>на конец отчетного периода предъявленные к оплате за счёт средств местного бюджета судебные акты о возмещении ущерба в результате</w:t>
      </w:r>
      <w:proofErr w:type="gramEnd"/>
      <w:r w:rsidRPr="00BF1809">
        <w:rPr>
          <w:rFonts w:ascii="Times New Roman" w:hAnsi="Times New Roman" w:cs="Times New Roman"/>
          <w:sz w:val="24"/>
          <w:szCs w:val="24"/>
        </w:rPr>
        <w:t xml:space="preserve"> незаконных действий или бездействий ГАБС и (или) его должностных лиц.</w:t>
      </w:r>
    </w:p>
    <w:p w:rsidR="00D8189C" w:rsidRPr="00BF1809" w:rsidRDefault="00D8189C" w:rsidP="004E4B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E2C49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BF1809">
        <w:rPr>
          <w:rFonts w:ascii="Times New Roman" w:hAnsi="Times New Roman" w:cs="Times New Roman"/>
          <w:sz w:val="24"/>
          <w:szCs w:val="24"/>
        </w:rPr>
        <w:t>2) Показатель 4.2</w:t>
      </w:r>
      <w:r w:rsidR="000E2C49" w:rsidRPr="00BF1809">
        <w:rPr>
          <w:rFonts w:ascii="Times New Roman" w:hAnsi="Times New Roman" w:cs="Times New Roman"/>
          <w:sz w:val="24"/>
          <w:szCs w:val="24"/>
        </w:rPr>
        <w:t>.</w:t>
      </w:r>
      <w:r w:rsidRPr="00BF1809">
        <w:rPr>
          <w:rFonts w:ascii="Times New Roman" w:hAnsi="Times New Roman" w:cs="Times New Roman"/>
          <w:sz w:val="24"/>
          <w:szCs w:val="24"/>
        </w:rPr>
        <w:t xml:space="preserve"> «Доля исполненных ГАБС исполнительных документов в общем объёме предъявленных к взысканию исполнительных документов».</w:t>
      </w:r>
    </w:p>
    <w:p w:rsidR="00D8189C" w:rsidRPr="00BF1809" w:rsidRDefault="00D8189C" w:rsidP="004E4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Показатель характеризует долю исполненных ГАБС исполнительных документов в общем объёме предъявленных к взысканию исполнительных документов.</w:t>
      </w:r>
    </w:p>
    <w:p w:rsidR="00D8189C" w:rsidRPr="00BF1809" w:rsidRDefault="00D8189C" w:rsidP="004E4B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Показатель по Думе города Югорска, Управлени</w:t>
      </w:r>
      <w:r w:rsidR="00CB10D7" w:rsidRPr="00BF1809">
        <w:rPr>
          <w:rFonts w:ascii="Times New Roman" w:hAnsi="Times New Roman" w:cs="Times New Roman"/>
          <w:sz w:val="24"/>
          <w:szCs w:val="24"/>
        </w:rPr>
        <w:t>ю</w:t>
      </w:r>
      <w:r w:rsidRPr="00BF1809">
        <w:rPr>
          <w:rFonts w:ascii="Times New Roman" w:hAnsi="Times New Roman" w:cs="Times New Roman"/>
          <w:sz w:val="24"/>
          <w:szCs w:val="24"/>
        </w:rPr>
        <w:t xml:space="preserve"> экономической политики (</w:t>
      </w:r>
      <w:r w:rsidR="00CB10D7" w:rsidRPr="00BF1809">
        <w:rPr>
          <w:rFonts w:ascii="Times New Roman" w:hAnsi="Times New Roman" w:cs="Times New Roman"/>
          <w:sz w:val="24"/>
          <w:szCs w:val="24"/>
        </w:rPr>
        <w:t xml:space="preserve">в отношении </w:t>
      </w:r>
      <w:r w:rsidRPr="00BF1809">
        <w:rPr>
          <w:rFonts w:ascii="Times New Roman" w:hAnsi="Times New Roman" w:cs="Times New Roman"/>
          <w:sz w:val="24"/>
          <w:szCs w:val="24"/>
        </w:rPr>
        <w:t>МАУ «Многофункциональный центр предоставления государственных и муниципальных услуг»), МКУ «Централизованная бухгалтерия», МКУ «Служба обеспечения органов местного самоуправления», Департамент</w:t>
      </w:r>
      <w:r w:rsidR="00CB10D7" w:rsidRPr="00BF1809">
        <w:rPr>
          <w:rFonts w:ascii="Times New Roman" w:hAnsi="Times New Roman" w:cs="Times New Roman"/>
          <w:sz w:val="24"/>
          <w:szCs w:val="24"/>
        </w:rPr>
        <w:t>у</w:t>
      </w:r>
      <w:r w:rsidRPr="00BF1809">
        <w:rPr>
          <w:rFonts w:ascii="Times New Roman" w:hAnsi="Times New Roman" w:cs="Times New Roman"/>
          <w:sz w:val="24"/>
          <w:szCs w:val="24"/>
        </w:rPr>
        <w:t xml:space="preserve"> финансов, Управлени</w:t>
      </w:r>
      <w:r w:rsidR="00CB10D7" w:rsidRPr="00BF1809">
        <w:rPr>
          <w:rFonts w:ascii="Times New Roman" w:hAnsi="Times New Roman" w:cs="Times New Roman"/>
          <w:sz w:val="24"/>
          <w:szCs w:val="24"/>
        </w:rPr>
        <w:t>ю</w:t>
      </w:r>
      <w:r w:rsidRPr="00BF1809">
        <w:rPr>
          <w:rFonts w:ascii="Times New Roman" w:hAnsi="Times New Roman" w:cs="Times New Roman"/>
          <w:sz w:val="24"/>
          <w:szCs w:val="24"/>
        </w:rPr>
        <w:t xml:space="preserve"> образования, Управлени</w:t>
      </w:r>
      <w:r w:rsidR="00CB10D7" w:rsidRPr="00BF1809">
        <w:rPr>
          <w:rFonts w:ascii="Times New Roman" w:hAnsi="Times New Roman" w:cs="Times New Roman"/>
          <w:sz w:val="24"/>
          <w:szCs w:val="24"/>
        </w:rPr>
        <w:t>ю</w:t>
      </w:r>
      <w:r w:rsidRPr="00BF1809">
        <w:rPr>
          <w:rFonts w:ascii="Times New Roman" w:hAnsi="Times New Roman" w:cs="Times New Roman"/>
          <w:sz w:val="24"/>
          <w:szCs w:val="24"/>
        </w:rPr>
        <w:t xml:space="preserve"> культуры, Управлени</w:t>
      </w:r>
      <w:r w:rsidR="00CB10D7" w:rsidRPr="00BF1809">
        <w:rPr>
          <w:rFonts w:ascii="Times New Roman" w:hAnsi="Times New Roman" w:cs="Times New Roman"/>
          <w:sz w:val="24"/>
          <w:szCs w:val="24"/>
        </w:rPr>
        <w:t>ю</w:t>
      </w:r>
      <w:r w:rsidRPr="00BF1809">
        <w:rPr>
          <w:rFonts w:ascii="Times New Roman" w:hAnsi="Times New Roman" w:cs="Times New Roman"/>
          <w:sz w:val="24"/>
          <w:szCs w:val="24"/>
        </w:rPr>
        <w:t xml:space="preserve"> социальной политики</w:t>
      </w:r>
      <w:r w:rsidR="00066B41" w:rsidRPr="00BF1809">
        <w:rPr>
          <w:rFonts w:ascii="Times New Roman" w:hAnsi="Times New Roman" w:cs="Times New Roman"/>
          <w:sz w:val="24"/>
          <w:szCs w:val="24"/>
        </w:rPr>
        <w:t>, Департаменту жилищно-коммунального и строительного комплекса</w:t>
      </w:r>
      <w:r w:rsidRPr="00BF1809">
        <w:rPr>
          <w:rFonts w:ascii="Times New Roman" w:hAnsi="Times New Roman" w:cs="Times New Roman"/>
          <w:sz w:val="24"/>
          <w:szCs w:val="24"/>
        </w:rPr>
        <w:t xml:space="preserve"> не оценивался. Отсутствуют исполнительные документы, подлежащие исполнению.</w:t>
      </w:r>
    </w:p>
    <w:p w:rsidR="00D8189C" w:rsidRPr="00BF1809" w:rsidRDefault="00D8189C" w:rsidP="002C0AB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Показатель по </w:t>
      </w:r>
      <w:r w:rsidR="00066B41" w:rsidRPr="00BF1809">
        <w:rPr>
          <w:rFonts w:ascii="Times New Roman" w:hAnsi="Times New Roman" w:cs="Times New Roman"/>
          <w:sz w:val="24"/>
          <w:szCs w:val="24"/>
        </w:rPr>
        <w:t xml:space="preserve">Департаменту муниципальной собственности и градостроительства </w:t>
      </w:r>
      <w:r w:rsidR="00CB10D7" w:rsidRPr="00BF1809">
        <w:rPr>
          <w:rFonts w:ascii="Times New Roman" w:hAnsi="Times New Roman" w:cs="Times New Roman"/>
          <w:sz w:val="24"/>
          <w:szCs w:val="24"/>
        </w:rPr>
        <w:t>составил</w:t>
      </w:r>
      <w:r w:rsidRPr="00BF1809">
        <w:rPr>
          <w:rFonts w:ascii="Times New Roman" w:hAnsi="Times New Roman" w:cs="Times New Roman"/>
          <w:sz w:val="24"/>
          <w:szCs w:val="24"/>
        </w:rPr>
        <w:t xml:space="preserve"> 100,0 баллов. Предъявленные к взысканию исполнительные документы исполнены в полном объеме.</w:t>
      </w:r>
    </w:p>
    <w:p w:rsidR="002C0ABD" w:rsidRPr="009A1A75" w:rsidRDefault="002C0ABD" w:rsidP="002C0ABD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D8189C" w:rsidRPr="00BF1809" w:rsidRDefault="00D8189C" w:rsidP="002C0A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1809">
        <w:rPr>
          <w:rFonts w:ascii="Times New Roman" w:hAnsi="Times New Roman" w:cs="Times New Roman"/>
          <w:b/>
          <w:sz w:val="24"/>
          <w:szCs w:val="24"/>
        </w:rPr>
        <w:t>5. Оценка кадрового потенциала экономических и бухгалтерских служб</w:t>
      </w:r>
    </w:p>
    <w:p w:rsidR="002C0ABD" w:rsidRPr="00BF1809" w:rsidRDefault="002C0ABD" w:rsidP="002C0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8189C" w:rsidRPr="00BF1809" w:rsidRDefault="003B6015" w:rsidP="00EF27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Для расчёта показателей Мониторинга в части исполнения бюджета использовалась</w:t>
      </w:r>
      <w:r w:rsidRPr="00BF1809">
        <w:t xml:space="preserve"> </w:t>
      </w:r>
      <w:r w:rsidRPr="00BF1809">
        <w:rPr>
          <w:rFonts w:ascii="Times New Roman" w:hAnsi="Times New Roman" w:cs="Times New Roman"/>
          <w:sz w:val="24"/>
          <w:szCs w:val="24"/>
        </w:rPr>
        <w:t>информация Г</w:t>
      </w:r>
      <w:r w:rsidR="00F619F9" w:rsidRPr="00BF1809">
        <w:rPr>
          <w:rFonts w:ascii="Times New Roman" w:hAnsi="Times New Roman" w:cs="Times New Roman"/>
          <w:sz w:val="24"/>
          <w:szCs w:val="24"/>
        </w:rPr>
        <w:t>А</w:t>
      </w:r>
      <w:r w:rsidRPr="00BF1809">
        <w:rPr>
          <w:rFonts w:ascii="Times New Roman" w:hAnsi="Times New Roman" w:cs="Times New Roman"/>
          <w:sz w:val="24"/>
          <w:szCs w:val="24"/>
        </w:rPr>
        <w:t>БС, представленная по установленной форме.</w:t>
      </w:r>
    </w:p>
    <w:p w:rsidR="00450F9F" w:rsidRPr="00BF1809" w:rsidRDefault="00071210" w:rsidP="00EF27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Средняя балльная оценка по 5</w:t>
      </w:r>
      <w:r w:rsidR="004D3CBD" w:rsidRPr="00BF1809">
        <w:rPr>
          <w:rFonts w:ascii="Times New Roman" w:hAnsi="Times New Roman" w:cs="Times New Roman"/>
          <w:sz w:val="24"/>
          <w:szCs w:val="24"/>
        </w:rPr>
        <w:t>-й</w:t>
      </w:r>
      <w:r w:rsidRPr="00BF1809">
        <w:rPr>
          <w:rFonts w:ascii="Times New Roman" w:hAnsi="Times New Roman" w:cs="Times New Roman"/>
          <w:sz w:val="24"/>
          <w:szCs w:val="24"/>
        </w:rPr>
        <w:t xml:space="preserve"> группе показателей составила </w:t>
      </w:r>
      <w:r w:rsidR="001D1B49" w:rsidRPr="00BF1809">
        <w:rPr>
          <w:rFonts w:ascii="Times New Roman" w:hAnsi="Times New Roman" w:cs="Times New Roman"/>
          <w:sz w:val="24"/>
          <w:szCs w:val="24"/>
        </w:rPr>
        <w:t>96,2</w:t>
      </w:r>
      <w:r w:rsidRPr="00BF1809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450F9F" w:rsidRPr="00BF1809">
        <w:rPr>
          <w:rFonts w:ascii="Times New Roman" w:hAnsi="Times New Roman" w:cs="Times New Roman"/>
          <w:sz w:val="24"/>
          <w:szCs w:val="24"/>
        </w:rPr>
        <w:t xml:space="preserve">, что </w:t>
      </w:r>
      <w:r w:rsidR="001D1B49" w:rsidRPr="00BF1809">
        <w:rPr>
          <w:rFonts w:ascii="Times New Roman" w:hAnsi="Times New Roman" w:cs="Times New Roman"/>
          <w:sz w:val="24"/>
          <w:szCs w:val="24"/>
        </w:rPr>
        <w:t>выше</w:t>
      </w:r>
      <w:r w:rsidR="00450F9F" w:rsidRPr="00BF1809">
        <w:rPr>
          <w:rFonts w:ascii="Times New Roman" w:hAnsi="Times New Roman" w:cs="Times New Roman"/>
          <w:sz w:val="24"/>
          <w:szCs w:val="24"/>
        </w:rPr>
        <w:t xml:space="preserve"> уровня</w:t>
      </w:r>
      <w:r w:rsidR="009A5351" w:rsidRPr="00BF1809">
        <w:rPr>
          <w:rFonts w:ascii="Times New Roman" w:hAnsi="Times New Roman" w:cs="Times New Roman"/>
          <w:sz w:val="24"/>
          <w:szCs w:val="24"/>
        </w:rPr>
        <w:t xml:space="preserve"> за 2015</w:t>
      </w:r>
      <w:r w:rsidR="00450F9F" w:rsidRPr="00BF1809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1D1B49" w:rsidRPr="00BF1809">
        <w:rPr>
          <w:rFonts w:ascii="Times New Roman" w:hAnsi="Times New Roman" w:cs="Times New Roman"/>
          <w:sz w:val="24"/>
          <w:szCs w:val="24"/>
        </w:rPr>
        <w:t>3</w:t>
      </w:r>
      <w:r w:rsidR="00450F9F" w:rsidRPr="00BF1809">
        <w:rPr>
          <w:rFonts w:ascii="Times New Roman" w:hAnsi="Times New Roman" w:cs="Times New Roman"/>
          <w:sz w:val="24"/>
          <w:szCs w:val="24"/>
        </w:rPr>
        <w:t>,</w:t>
      </w:r>
      <w:r w:rsidR="001D1B49" w:rsidRPr="00BF1809">
        <w:rPr>
          <w:rFonts w:ascii="Times New Roman" w:hAnsi="Times New Roman" w:cs="Times New Roman"/>
          <w:sz w:val="24"/>
          <w:szCs w:val="24"/>
        </w:rPr>
        <w:t>2</w:t>
      </w:r>
      <w:r w:rsidR="00450F9F" w:rsidRPr="00BF1809">
        <w:rPr>
          <w:rFonts w:ascii="Times New Roman" w:hAnsi="Times New Roman" w:cs="Times New Roman"/>
          <w:sz w:val="24"/>
          <w:szCs w:val="24"/>
        </w:rPr>
        <w:t xml:space="preserve"> балла</w:t>
      </w:r>
      <w:r w:rsidR="009A5351" w:rsidRPr="00BF1809">
        <w:rPr>
          <w:rFonts w:ascii="Times New Roman" w:hAnsi="Times New Roman" w:cs="Times New Roman"/>
          <w:sz w:val="24"/>
          <w:szCs w:val="24"/>
        </w:rPr>
        <w:t xml:space="preserve"> (в 2015</w:t>
      </w:r>
      <w:r w:rsidR="00450F9F" w:rsidRPr="00BF1809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данной </w:t>
      </w:r>
      <w:r w:rsidR="009A5351" w:rsidRPr="00BF1809">
        <w:rPr>
          <w:rFonts w:ascii="Times New Roman" w:hAnsi="Times New Roman" w:cs="Times New Roman"/>
          <w:sz w:val="24"/>
          <w:szCs w:val="24"/>
        </w:rPr>
        <w:t>группе показателей составляла 9</w:t>
      </w:r>
      <w:r w:rsidR="00450F9F" w:rsidRPr="00BF1809">
        <w:rPr>
          <w:rFonts w:ascii="Times New Roman" w:hAnsi="Times New Roman" w:cs="Times New Roman"/>
          <w:sz w:val="24"/>
          <w:szCs w:val="24"/>
        </w:rPr>
        <w:t>3</w:t>
      </w:r>
      <w:r w:rsidR="009A5351" w:rsidRPr="00BF1809">
        <w:rPr>
          <w:rFonts w:ascii="Times New Roman" w:hAnsi="Times New Roman" w:cs="Times New Roman"/>
          <w:sz w:val="24"/>
          <w:szCs w:val="24"/>
        </w:rPr>
        <w:t>,0</w:t>
      </w:r>
      <w:r w:rsidR="00450F9F" w:rsidRPr="00BF1809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071210" w:rsidRPr="00BF1809" w:rsidRDefault="00071210" w:rsidP="00D8189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Из 8 </w:t>
      </w:r>
      <w:proofErr w:type="gramStart"/>
      <w:r w:rsidRPr="00BF1809">
        <w:rPr>
          <w:rFonts w:ascii="Times New Roman" w:hAnsi="Times New Roman" w:cs="Times New Roman"/>
          <w:sz w:val="24"/>
          <w:szCs w:val="24"/>
        </w:rPr>
        <w:t>оцениваемых</w:t>
      </w:r>
      <w:proofErr w:type="gramEnd"/>
      <w:r w:rsidRPr="00BF1809">
        <w:rPr>
          <w:rFonts w:ascii="Times New Roman" w:hAnsi="Times New Roman" w:cs="Times New Roman"/>
          <w:sz w:val="24"/>
          <w:szCs w:val="24"/>
        </w:rPr>
        <w:t xml:space="preserve"> ГАБС 5 или 62,5% имеют оценку выше среднего значения.</w:t>
      </w:r>
    </w:p>
    <w:p w:rsidR="001D4C78" w:rsidRPr="009A1A75" w:rsidRDefault="001D4C78" w:rsidP="00B013C8">
      <w:pPr>
        <w:jc w:val="both"/>
        <w:rPr>
          <w:sz w:val="24"/>
          <w:szCs w:val="24"/>
        </w:rPr>
      </w:pPr>
      <w:r w:rsidRPr="009A1A75">
        <w:rPr>
          <w:noProof/>
          <w:sz w:val="24"/>
          <w:szCs w:val="24"/>
        </w:rPr>
        <w:lastRenderedPageBreak/>
        <w:drawing>
          <wp:inline distT="0" distB="0" distL="0" distR="0">
            <wp:extent cx="6435258" cy="3502325"/>
            <wp:effectExtent l="19050" t="0" r="22692" b="0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D8189C" w:rsidRPr="00BF1809" w:rsidRDefault="00D8189C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Оценка результатов исполнения бюджета проведена по двум показателям:</w:t>
      </w:r>
    </w:p>
    <w:p w:rsidR="00F73753" w:rsidRPr="00BF1809" w:rsidRDefault="00D8189C" w:rsidP="001F2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ab/>
        <w:t>1) Показатель 5.1 «Доля специалистов экономических и бухгалтерских служб, имеющих высшее образование, от общего количества специалистов экономических и бухгалтерских служб».</w:t>
      </w:r>
      <w:r w:rsidR="00F619F9" w:rsidRPr="00BF1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9C" w:rsidRPr="00BF1809" w:rsidRDefault="00D8189C" w:rsidP="00F7375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Показатель характеризует уровень образования специалистов экономических и бухгалтерских служб.</w:t>
      </w:r>
      <w:r w:rsidR="00BF38D9" w:rsidRPr="00BF1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189C" w:rsidRPr="00BF1809" w:rsidRDefault="00D8189C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Показатель по МКУ «Служба обеспечения органов местного самоуправления»</w:t>
      </w:r>
      <w:r w:rsidR="00F619F9" w:rsidRPr="00BF1809">
        <w:rPr>
          <w:rFonts w:ascii="Times New Roman" w:hAnsi="Times New Roman" w:cs="Times New Roman"/>
          <w:sz w:val="24"/>
          <w:szCs w:val="24"/>
        </w:rPr>
        <w:t>, Управлению культуры, Управлению социальной политики</w:t>
      </w:r>
      <w:r w:rsidRPr="00BF1809">
        <w:rPr>
          <w:rFonts w:ascii="Times New Roman" w:hAnsi="Times New Roman" w:cs="Times New Roman"/>
          <w:sz w:val="24"/>
          <w:szCs w:val="24"/>
        </w:rPr>
        <w:t xml:space="preserve"> не оценивался</w:t>
      </w:r>
      <w:r w:rsidR="00F619F9" w:rsidRPr="00BF1809">
        <w:rPr>
          <w:rFonts w:ascii="Times New Roman" w:hAnsi="Times New Roman" w:cs="Times New Roman"/>
          <w:sz w:val="24"/>
          <w:szCs w:val="24"/>
        </w:rPr>
        <w:t>, т.к. в их</w:t>
      </w:r>
      <w:r w:rsidRPr="00BF1809">
        <w:rPr>
          <w:rFonts w:ascii="Times New Roman" w:hAnsi="Times New Roman" w:cs="Times New Roman"/>
          <w:sz w:val="24"/>
          <w:szCs w:val="24"/>
        </w:rPr>
        <w:t xml:space="preserve"> структуре отсутствуют экономическая и бухгалтерская службы.</w:t>
      </w:r>
    </w:p>
    <w:p w:rsidR="00BF38D9" w:rsidRPr="00BF1809" w:rsidRDefault="00BF38D9" w:rsidP="00BF38D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Средняя балльная оценка по показателю составила </w:t>
      </w:r>
      <w:r w:rsidR="001D1B49" w:rsidRPr="00BF1809">
        <w:rPr>
          <w:rFonts w:ascii="Times New Roman" w:hAnsi="Times New Roman" w:cs="Times New Roman"/>
          <w:sz w:val="24"/>
          <w:szCs w:val="24"/>
        </w:rPr>
        <w:t>92</w:t>
      </w:r>
      <w:r w:rsidRPr="00BF1809">
        <w:rPr>
          <w:rFonts w:ascii="Times New Roman" w:hAnsi="Times New Roman" w:cs="Times New Roman"/>
          <w:sz w:val="24"/>
          <w:szCs w:val="24"/>
        </w:rPr>
        <w:t>,</w:t>
      </w:r>
      <w:r w:rsidR="001D1B49" w:rsidRPr="00BF1809">
        <w:rPr>
          <w:rFonts w:ascii="Times New Roman" w:hAnsi="Times New Roman" w:cs="Times New Roman"/>
          <w:sz w:val="24"/>
          <w:szCs w:val="24"/>
        </w:rPr>
        <w:t>3</w:t>
      </w:r>
      <w:r w:rsidRPr="00BF1809">
        <w:rPr>
          <w:rFonts w:ascii="Times New Roman" w:hAnsi="Times New Roman" w:cs="Times New Roman"/>
          <w:sz w:val="24"/>
          <w:szCs w:val="24"/>
        </w:rPr>
        <w:t xml:space="preserve"> балл</w:t>
      </w:r>
      <w:r w:rsidR="001D1B49" w:rsidRPr="00BF1809">
        <w:rPr>
          <w:rFonts w:ascii="Times New Roman" w:hAnsi="Times New Roman" w:cs="Times New Roman"/>
          <w:sz w:val="24"/>
          <w:szCs w:val="24"/>
        </w:rPr>
        <w:t>а</w:t>
      </w:r>
      <w:r w:rsidRPr="00BF1809">
        <w:rPr>
          <w:rFonts w:ascii="Times New Roman" w:hAnsi="Times New Roman" w:cs="Times New Roman"/>
          <w:sz w:val="24"/>
          <w:szCs w:val="24"/>
        </w:rPr>
        <w:t xml:space="preserve">, что </w:t>
      </w:r>
      <w:r w:rsidR="001D1B49" w:rsidRPr="00BF1809">
        <w:rPr>
          <w:rFonts w:ascii="Times New Roman" w:hAnsi="Times New Roman" w:cs="Times New Roman"/>
          <w:sz w:val="24"/>
          <w:szCs w:val="24"/>
        </w:rPr>
        <w:t>выше</w:t>
      </w:r>
      <w:r w:rsidRPr="00BF1809">
        <w:rPr>
          <w:rFonts w:ascii="Times New Roman" w:hAnsi="Times New Roman" w:cs="Times New Roman"/>
          <w:sz w:val="24"/>
          <w:szCs w:val="24"/>
        </w:rPr>
        <w:t xml:space="preserve"> </w:t>
      </w:r>
      <w:r w:rsidR="00F73753" w:rsidRPr="00BF1809">
        <w:rPr>
          <w:rFonts w:ascii="Times New Roman" w:hAnsi="Times New Roman" w:cs="Times New Roman"/>
          <w:sz w:val="24"/>
          <w:szCs w:val="24"/>
        </w:rPr>
        <w:t>уровня за 2015</w:t>
      </w:r>
      <w:r w:rsidRPr="00BF1809">
        <w:rPr>
          <w:rFonts w:ascii="Times New Roman" w:hAnsi="Times New Roman" w:cs="Times New Roman"/>
          <w:sz w:val="24"/>
          <w:szCs w:val="24"/>
        </w:rPr>
        <w:t xml:space="preserve"> год на </w:t>
      </w:r>
      <w:r w:rsidR="001D1B49" w:rsidRPr="00BF1809">
        <w:rPr>
          <w:rFonts w:ascii="Times New Roman" w:hAnsi="Times New Roman" w:cs="Times New Roman"/>
          <w:sz w:val="24"/>
          <w:szCs w:val="24"/>
        </w:rPr>
        <w:t>6</w:t>
      </w:r>
      <w:r w:rsidRPr="00BF1809">
        <w:rPr>
          <w:rFonts w:ascii="Times New Roman" w:hAnsi="Times New Roman" w:cs="Times New Roman"/>
          <w:sz w:val="24"/>
          <w:szCs w:val="24"/>
        </w:rPr>
        <w:t>,3 балла</w:t>
      </w:r>
      <w:r w:rsidR="00F73753" w:rsidRPr="00BF1809">
        <w:rPr>
          <w:rFonts w:ascii="Times New Roman" w:hAnsi="Times New Roman" w:cs="Times New Roman"/>
          <w:sz w:val="24"/>
          <w:szCs w:val="24"/>
        </w:rPr>
        <w:t xml:space="preserve"> (в 2015</w:t>
      </w:r>
      <w:r w:rsidRPr="00BF1809">
        <w:rPr>
          <w:rFonts w:ascii="Times New Roman" w:hAnsi="Times New Roman" w:cs="Times New Roman"/>
          <w:sz w:val="24"/>
          <w:szCs w:val="24"/>
        </w:rPr>
        <w:t xml:space="preserve"> году средняя балльная оценка качества финансового менеджмента по </w:t>
      </w:r>
      <w:r w:rsidR="00F73753" w:rsidRPr="00BF1809">
        <w:rPr>
          <w:rFonts w:ascii="Times New Roman" w:hAnsi="Times New Roman" w:cs="Times New Roman"/>
          <w:sz w:val="24"/>
          <w:szCs w:val="24"/>
        </w:rPr>
        <w:t>данному показателю составляла 86,0</w:t>
      </w:r>
      <w:r w:rsidRPr="00BF1809">
        <w:rPr>
          <w:rFonts w:ascii="Times New Roman" w:hAnsi="Times New Roman" w:cs="Times New Roman"/>
          <w:sz w:val="24"/>
          <w:szCs w:val="24"/>
        </w:rPr>
        <w:t xml:space="preserve"> балла).</w:t>
      </w:r>
    </w:p>
    <w:p w:rsidR="00D8189C" w:rsidRPr="00BF1809" w:rsidRDefault="00D8189C" w:rsidP="001F28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Значение </w:t>
      </w:r>
      <w:r w:rsidR="00247765" w:rsidRPr="00BF1809">
        <w:rPr>
          <w:rFonts w:ascii="Times New Roman" w:hAnsi="Times New Roman" w:cs="Times New Roman"/>
          <w:sz w:val="24"/>
          <w:szCs w:val="24"/>
        </w:rPr>
        <w:t xml:space="preserve">оценки </w:t>
      </w:r>
      <w:r w:rsidRPr="00BF1809">
        <w:rPr>
          <w:rFonts w:ascii="Times New Roman" w:hAnsi="Times New Roman" w:cs="Times New Roman"/>
          <w:sz w:val="24"/>
          <w:szCs w:val="24"/>
        </w:rPr>
        <w:t>показателя составило 100,0 баллов у Думы города Югорска, Департамента финансов, Департамента муниципальной собственности и градостроительства</w:t>
      </w:r>
      <w:r w:rsidR="001D1B49" w:rsidRPr="00BF1809">
        <w:rPr>
          <w:rFonts w:ascii="Times New Roman" w:hAnsi="Times New Roman" w:cs="Times New Roman"/>
          <w:sz w:val="24"/>
          <w:szCs w:val="24"/>
        </w:rPr>
        <w:t>, Управления образования, Управления экономической политики (в отношении МАУ «Многофункциональный центр предоставления государственных и муниципальных услуг»)</w:t>
      </w:r>
      <w:r w:rsidRPr="00BF1809">
        <w:rPr>
          <w:rFonts w:ascii="Times New Roman" w:hAnsi="Times New Roman" w:cs="Times New Roman"/>
          <w:sz w:val="24"/>
          <w:szCs w:val="24"/>
        </w:rPr>
        <w:t>. Все специалисты экономических и бухгалтерских служб</w:t>
      </w:r>
      <w:r w:rsidR="00F619F9" w:rsidRPr="00BF1809">
        <w:rPr>
          <w:rFonts w:ascii="Times New Roman" w:hAnsi="Times New Roman" w:cs="Times New Roman"/>
          <w:sz w:val="24"/>
          <w:szCs w:val="24"/>
        </w:rPr>
        <w:t xml:space="preserve"> указанных ГАБС</w:t>
      </w:r>
      <w:r w:rsidRPr="00BF1809">
        <w:rPr>
          <w:rFonts w:ascii="Times New Roman" w:hAnsi="Times New Roman" w:cs="Times New Roman"/>
          <w:sz w:val="24"/>
          <w:szCs w:val="24"/>
        </w:rPr>
        <w:t xml:space="preserve"> имеют высшее образование.</w:t>
      </w:r>
    </w:p>
    <w:p w:rsidR="00D8189C" w:rsidRPr="00BF1809" w:rsidRDefault="00D8189C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Оценка показателя по иным ГАБС составила менее 100,0 баллов:</w:t>
      </w:r>
    </w:p>
    <w:p w:rsidR="00F619F9" w:rsidRPr="00BF1809" w:rsidRDefault="00F619F9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Администрация города Югорска – </w:t>
      </w:r>
      <w:r w:rsidR="001C4291" w:rsidRPr="00BF1809">
        <w:rPr>
          <w:rFonts w:ascii="Times New Roman" w:hAnsi="Times New Roman" w:cs="Times New Roman"/>
          <w:sz w:val="24"/>
          <w:szCs w:val="24"/>
        </w:rPr>
        <w:t>90</w:t>
      </w:r>
      <w:r w:rsidRPr="00BF1809">
        <w:rPr>
          <w:rFonts w:ascii="Times New Roman" w:hAnsi="Times New Roman" w:cs="Times New Roman"/>
          <w:sz w:val="24"/>
          <w:szCs w:val="24"/>
        </w:rPr>
        <w:t>,</w:t>
      </w:r>
      <w:r w:rsidR="001C4291" w:rsidRPr="00BF1809">
        <w:rPr>
          <w:rFonts w:ascii="Times New Roman" w:hAnsi="Times New Roman" w:cs="Times New Roman"/>
          <w:sz w:val="24"/>
          <w:szCs w:val="24"/>
        </w:rPr>
        <w:t>0</w:t>
      </w:r>
      <w:r w:rsidR="00BF38D9" w:rsidRPr="00BF1809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BF1809">
        <w:rPr>
          <w:rFonts w:ascii="Times New Roman" w:hAnsi="Times New Roman" w:cs="Times New Roman"/>
          <w:sz w:val="24"/>
          <w:szCs w:val="24"/>
        </w:rPr>
        <w:t xml:space="preserve"> (</w:t>
      </w:r>
      <w:r w:rsidR="001C4291" w:rsidRPr="00BF1809">
        <w:rPr>
          <w:rFonts w:ascii="Times New Roman" w:hAnsi="Times New Roman" w:cs="Times New Roman"/>
          <w:sz w:val="24"/>
          <w:szCs w:val="24"/>
        </w:rPr>
        <w:t>9</w:t>
      </w:r>
      <w:r w:rsidRPr="00BF1809">
        <w:rPr>
          <w:rFonts w:ascii="Times New Roman" w:hAnsi="Times New Roman" w:cs="Times New Roman"/>
          <w:sz w:val="24"/>
          <w:szCs w:val="24"/>
        </w:rPr>
        <w:t xml:space="preserve"> из </w:t>
      </w:r>
      <w:r w:rsidR="001C4291" w:rsidRPr="00BF1809">
        <w:rPr>
          <w:rFonts w:ascii="Times New Roman" w:hAnsi="Times New Roman" w:cs="Times New Roman"/>
          <w:sz w:val="24"/>
          <w:szCs w:val="24"/>
        </w:rPr>
        <w:t>10</w:t>
      </w:r>
      <w:r w:rsidRPr="00BF1809">
        <w:rPr>
          <w:rFonts w:ascii="Times New Roman" w:hAnsi="Times New Roman" w:cs="Times New Roman"/>
          <w:sz w:val="24"/>
          <w:szCs w:val="24"/>
        </w:rPr>
        <w:t xml:space="preserve"> специалистов экономических и бухгалтерских служб имеют высшее образование); </w:t>
      </w:r>
    </w:p>
    <w:p w:rsidR="00F619F9" w:rsidRPr="00BF1809" w:rsidRDefault="00F619F9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Департамент жилищно-коммунального и строительного комплекса – 77,8</w:t>
      </w:r>
      <w:r w:rsidR="00BF38D9" w:rsidRPr="00BF1809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BF1809">
        <w:rPr>
          <w:rFonts w:ascii="Times New Roman" w:hAnsi="Times New Roman" w:cs="Times New Roman"/>
          <w:sz w:val="24"/>
          <w:szCs w:val="24"/>
        </w:rPr>
        <w:t xml:space="preserve"> (7 из 9 специалистов экономических и бухгалтерских служб имеют высшее образование);</w:t>
      </w:r>
    </w:p>
    <w:p w:rsidR="00D8189C" w:rsidRPr="00BF1809" w:rsidRDefault="00D8189C" w:rsidP="001F28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 xml:space="preserve">МКУ «Централизованная бухгалтерия» - </w:t>
      </w:r>
      <w:r w:rsidR="001C4291" w:rsidRPr="00BF1809">
        <w:rPr>
          <w:rFonts w:ascii="Times New Roman" w:hAnsi="Times New Roman" w:cs="Times New Roman"/>
          <w:sz w:val="24"/>
          <w:szCs w:val="24"/>
        </w:rPr>
        <w:t>70,6</w:t>
      </w:r>
      <w:r w:rsidR="00BF38D9" w:rsidRPr="00BF1809">
        <w:rPr>
          <w:rFonts w:ascii="Times New Roman" w:hAnsi="Times New Roman" w:cs="Times New Roman"/>
          <w:sz w:val="24"/>
          <w:szCs w:val="24"/>
        </w:rPr>
        <w:t xml:space="preserve"> баллов</w:t>
      </w:r>
      <w:r w:rsidRPr="00BF1809">
        <w:rPr>
          <w:rFonts w:ascii="Times New Roman" w:hAnsi="Times New Roman" w:cs="Times New Roman"/>
          <w:sz w:val="24"/>
          <w:szCs w:val="24"/>
        </w:rPr>
        <w:t xml:space="preserve"> (1</w:t>
      </w:r>
      <w:r w:rsidR="001C4291" w:rsidRPr="00BF1809">
        <w:rPr>
          <w:rFonts w:ascii="Times New Roman" w:hAnsi="Times New Roman" w:cs="Times New Roman"/>
          <w:sz w:val="24"/>
          <w:szCs w:val="24"/>
        </w:rPr>
        <w:t>2</w:t>
      </w:r>
      <w:r w:rsidRPr="00BF1809">
        <w:rPr>
          <w:rFonts w:ascii="Times New Roman" w:hAnsi="Times New Roman" w:cs="Times New Roman"/>
          <w:sz w:val="24"/>
          <w:szCs w:val="24"/>
        </w:rPr>
        <w:t xml:space="preserve"> из 1</w:t>
      </w:r>
      <w:r w:rsidR="00071210" w:rsidRPr="00BF1809">
        <w:rPr>
          <w:rFonts w:ascii="Times New Roman" w:hAnsi="Times New Roman" w:cs="Times New Roman"/>
          <w:sz w:val="24"/>
          <w:szCs w:val="24"/>
        </w:rPr>
        <w:t>7</w:t>
      </w:r>
      <w:r w:rsidRPr="00BF1809">
        <w:rPr>
          <w:rFonts w:ascii="Times New Roman" w:hAnsi="Times New Roman" w:cs="Times New Roman"/>
          <w:sz w:val="24"/>
          <w:szCs w:val="24"/>
        </w:rPr>
        <w:t xml:space="preserve"> специалистов экономических и бухгалтерских служб имеют высшее образование</w:t>
      </w:r>
      <w:r w:rsidR="002C0ABD" w:rsidRPr="00BF1809">
        <w:rPr>
          <w:rFonts w:ascii="Times New Roman" w:hAnsi="Times New Roman" w:cs="Times New Roman"/>
          <w:sz w:val="24"/>
          <w:szCs w:val="24"/>
        </w:rPr>
        <w:t>)</w:t>
      </w:r>
      <w:r w:rsidR="00AB3941" w:rsidRPr="00BF1809">
        <w:rPr>
          <w:rFonts w:ascii="Times New Roman" w:hAnsi="Times New Roman" w:cs="Times New Roman"/>
          <w:sz w:val="24"/>
          <w:szCs w:val="24"/>
        </w:rPr>
        <w:t xml:space="preserve"> – наихудшее значение</w:t>
      </w:r>
      <w:r w:rsidRPr="00BF1809">
        <w:rPr>
          <w:rFonts w:ascii="Times New Roman" w:hAnsi="Times New Roman" w:cs="Times New Roman"/>
          <w:sz w:val="24"/>
          <w:szCs w:val="24"/>
        </w:rPr>
        <w:t>.</w:t>
      </w:r>
    </w:p>
    <w:p w:rsidR="00D8189C" w:rsidRPr="00BF1809" w:rsidRDefault="00D8189C" w:rsidP="001F28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A1A75">
        <w:rPr>
          <w:rFonts w:ascii="Times New Roman" w:hAnsi="Times New Roman" w:cs="Times New Roman"/>
          <w:sz w:val="24"/>
          <w:szCs w:val="24"/>
        </w:rPr>
        <w:tab/>
      </w:r>
      <w:r w:rsidRPr="00BF1809">
        <w:rPr>
          <w:rFonts w:ascii="Times New Roman" w:hAnsi="Times New Roman" w:cs="Times New Roman"/>
          <w:sz w:val="24"/>
          <w:szCs w:val="24"/>
        </w:rPr>
        <w:t>2) Показатель 5.2</w:t>
      </w:r>
      <w:r w:rsidR="008F6F1B" w:rsidRPr="00BF1809">
        <w:rPr>
          <w:rFonts w:ascii="Times New Roman" w:hAnsi="Times New Roman" w:cs="Times New Roman"/>
          <w:sz w:val="24"/>
          <w:szCs w:val="24"/>
        </w:rPr>
        <w:t>.</w:t>
      </w:r>
      <w:r w:rsidRPr="00BF1809">
        <w:rPr>
          <w:rFonts w:ascii="Times New Roman" w:hAnsi="Times New Roman" w:cs="Times New Roman"/>
          <w:sz w:val="24"/>
          <w:szCs w:val="24"/>
        </w:rPr>
        <w:t xml:space="preserve"> «</w:t>
      </w:r>
      <w:r w:rsidR="003B6015" w:rsidRPr="00BF1809">
        <w:rPr>
          <w:rFonts w:ascii="Times New Roman" w:hAnsi="Times New Roman" w:cs="Times New Roman"/>
          <w:sz w:val="24"/>
          <w:szCs w:val="24"/>
        </w:rPr>
        <w:t>Уровень укомплектованности кадрами экономических и бухгалтерских служб</w:t>
      </w:r>
      <w:r w:rsidRPr="00BF1809">
        <w:rPr>
          <w:rFonts w:ascii="Times New Roman" w:hAnsi="Times New Roman" w:cs="Times New Roman"/>
          <w:sz w:val="24"/>
          <w:szCs w:val="24"/>
        </w:rPr>
        <w:t>».</w:t>
      </w:r>
    </w:p>
    <w:p w:rsidR="00F619F9" w:rsidRPr="00BF1809" w:rsidRDefault="00F619F9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Показатель по МКУ «Служба обеспечения органов местного самоуправления», Управлению культуры, Управлению социальной политики не оценивался, т.к. в их структуре отсутствуют экономическая и бухгалтерская службы.</w:t>
      </w:r>
    </w:p>
    <w:p w:rsidR="00D8189C" w:rsidRPr="00BF1809" w:rsidRDefault="00F619F9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F1809">
        <w:rPr>
          <w:rFonts w:ascii="Times New Roman" w:hAnsi="Times New Roman" w:cs="Times New Roman"/>
          <w:sz w:val="24"/>
          <w:szCs w:val="24"/>
        </w:rPr>
        <w:t>У всех остальных Г</w:t>
      </w:r>
      <w:r w:rsidR="001F28ED" w:rsidRPr="00BF1809">
        <w:rPr>
          <w:rFonts w:ascii="Times New Roman" w:hAnsi="Times New Roman" w:cs="Times New Roman"/>
          <w:sz w:val="24"/>
          <w:szCs w:val="24"/>
        </w:rPr>
        <w:t>А</w:t>
      </w:r>
      <w:r w:rsidRPr="00BF1809">
        <w:rPr>
          <w:rFonts w:ascii="Times New Roman" w:hAnsi="Times New Roman" w:cs="Times New Roman"/>
          <w:sz w:val="24"/>
          <w:szCs w:val="24"/>
        </w:rPr>
        <w:t>БС з</w:t>
      </w:r>
      <w:r w:rsidR="00D8189C" w:rsidRPr="00BF1809">
        <w:rPr>
          <w:rFonts w:ascii="Times New Roman" w:hAnsi="Times New Roman" w:cs="Times New Roman"/>
          <w:sz w:val="24"/>
          <w:szCs w:val="24"/>
        </w:rPr>
        <w:t xml:space="preserve">начение </w:t>
      </w:r>
      <w:r w:rsidR="00247765" w:rsidRPr="00BF1809">
        <w:rPr>
          <w:rFonts w:ascii="Times New Roman" w:hAnsi="Times New Roman" w:cs="Times New Roman"/>
          <w:sz w:val="24"/>
          <w:szCs w:val="24"/>
        </w:rPr>
        <w:t xml:space="preserve">оценки </w:t>
      </w:r>
      <w:r w:rsidR="00D8189C" w:rsidRPr="00BF1809">
        <w:rPr>
          <w:rFonts w:ascii="Times New Roman" w:hAnsi="Times New Roman" w:cs="Times New Roman"/>
          <w:sz w:val="24"/>
          <w:szCs w:val="24"/>
        </w:rPr>
        <w:t>показателя составило 100,0 баллов</w:t>
      </w:r>
      <w:r w:rsidRPr="00BF1809">
        <w:rPr>
          <w:rFonts w:ascii="Times New Roman" w:hAnsi="Times New Roman" w:cs="Times New Roman"/>
          <w:sz w:val="24"/>
          <w:szCs w:val="24"/>
        </w:rPr>
        <w:t xml:space="preserve">. </w:t>
      </w:r>
      <w:r w:rsidR="00D8189C" w:rsidRPr="00BF1809">
        <w:rPr>
          <w:rFonts w:ascii="Times New Roman" w:hAnsi="Times New Roman" w:cs="Times New Roman"/>
          <w:sz w:val="24"/>
          <w:szCs w:val="24"/>
        </w:rPr>
        <w:t xml:space="preserve">Штат </w:t>
      </w:r>
      <w:r w:rsidRPr="00BF1809">
        <w:rPr>
          <w:rFonts w:ascii="Times New Roman" w:hAnsi="Times New Roman" w:cs="Times New Roman"/>
          <w:sz w:val="24"/>
          <w:szCs w:val="24"/>
        </w:rPr>
        <w:t xml:space="preserve">их </w:t>
      </w:r>
      <w:r w:rsidR="00D8189C" w:rsidRPr="00BF1809">
        <w:rPr>
          <w:rFonts w:ascii="Times New Roman" w:hAnsi="Times New Roman" w:cs="Times New Roman"/>
          <w:sz w:val="24"/>
          <w:szCs w:val="24"/>
        </w:rPr>
        <w:t>экономических и бухгалтерских служб укомплектован</w:t>
      </w:r>
      <w:r w:rsidRPr="00BF1809">
        <w:rPr>
          <w:rFonts w:ascii="Times New Roman" w:hAnsi="Times New Roman" w:cs="Times New Roman"/>
          <w:sz w:val="24"/>
          <w:szCs w:val="24"/>
        </w:rPr>
        <w:t xml:space="preserve"> полностью</w:t>
      </w:r>
      <w:r w:rsidR="00D8189C" w:rsidRPr="00BF1809">
        <w:rPr>
          <w:rFonts w:ascii="Times New Roman" w:hAnsi="Times New Roman" w:cs="Times New Roman"/>
          <w:sz w:val="24"/>
          <w:szCs w:val="24"/>
        </w:rPr>
        <w:t>.</w:t>
      </w:r>
    </w:p>
    <w:p w:rsidR="00D8189C" w:rsidRPr="009A1A75" w:rsidRDefault="00D8189C" w:rsidP="000A1BC8">
      <w:pPr>
        <w:spacing w:after="0" w:line="240" w:lineRule="auto"/>
        <w:ind w:firstLine="709"/>
        <w:jc w:val="both"/>
        <w:rPr>
          <w:color w:val="FF0000"/>
          <w:sz w:val="24"/>
          <w:szCs w:val="24"/>
        </w:rPr>
      </w:pPr>
    </w:p>
    <w:p w:rsidR="000A1BC8" w:rsidRPr="00DB72EF" w:rsidRDefault="000A1BC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2EF">
        <w:rPr>
          <w:rFonts w:ascii="Times New Roman" w:hAnsi="Times New Roman" w:cs="Times New Roman"/>
          <w:sz w:val="24"/>
          <w:szCs w:val="24"/>
        </w:rPr>
        <w:t>Мониторинг качества финансового менеджмента, осуществляемого главными администраторами средств бюджета города Югорска, за 201</w:t>
      </w:r>
      <w:r w:rsidR="006D2AC9" w:rsidRPr="00DB72EF">
        <w:rPr>
          <w:rFonts w:ascii="Times New Roman" w:hAnsi="Times New Roman" w:cs="Times New Roman"/>
          <w:sz w:val="24"/>
          <w:szCs w:val="24"/>
        </w:rPr>
        <w:t>6</w:t>
      </w:r>
      <w:r w:rsidRPr="00DB72EF">
        <w:rPr>
          <w:rFonts w:ascii="Times New Roman" w:hAnsi="Times New Roman" w:cs="Times New Roman"/>
          <w:sz w:val="24"/>
          <w:szCs w:val="24"/>
        </w:rPr>
        <w:t xml:space="preserve"> год </w:t>
      </w:r>
      <w:r w:rsidR="006F47BC" w:rsidRPr="00DB72EF">
        <w:rPr>
          <w:rFonts w:ascii="Times New Roman" w:hAnsi="Times New Roman" w:cs="Times New Roman"/>
          <w:sz w:val="24"/>
          <w:szCs w:val="24"/>
        </w:rPr>
        <w:t xml:space="preserve">выявил недостаточный уровень работы </w:t>
      </w:r>
      <w:r w:rsidRPr="00DB72EF">
        <w:rPr>
          <w:rFonts w:ascii="Times New Roman" w:hAnsi="Times New Roman" w:cs="Times New Roman"/>
          <w:sz w:val="24"/>
          <w:szCs w:val="24"/>
        </w:rPr>
        <w:t xml:space="preserve">большинства ГАБС </w:t>
      </w:r>
      <w:r w:rsidR="006F47BC" w:rsidRPr="00DB72EF">
        <w:rPr>
          <w:rFonts w:ascii="Times New Roman" w:hAnsi="Times New Roman" w:cs="Times New Roman"/>
          <w:sz w:val="24"/>
          <w:szCs w:val="24"/>
        </w:rPr>
        <w:t xml:space="preserve">в </w:t>
      </w:r>
      <w:r w:rsidR="00664336" w:rsidRPr="00DB72EF">
        <w:rPr>
          <w:rFonts w:ascii="Times New Roman" w:hAnsi="Times New Roman" w:cs="Times New Roman"/>
          <w:sz w:val="24"/>
          <w:szCs w:val="24"/>
        </w:rPr>
        <w:t>следующих направлениях:</w:t>
      </w:r>
    </w:p>
    <w:p w:rsidR="00664336" w:rsidRPr="00DB72EF" w:rsidRDefault="00664336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2EF">
        <w:rPr>
          <w:rFonts w:ascii="Times New Roman" w:hAnsi="Times New Roman" w:cs="Times New Roman"/>
          <w:sz w:val="24"/>
          <w:szCs w:val="24"/>
        </w:rPr>
        <w:t>- регулирование внутренних бюджетных процедур;</w:t>
      </w:r>
    </w:p>
    <w:p w:rsidR="00754BF8" w:rsidRPr="00DB72EF" w:rsidRDefault="00754B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2EF">
        <w:rPr>
          <w:rFonts w:ascii="Times New Roman" w:hAnsi="Times New Roman" w:cs="Times New Roman"/>
          <w:sz w:val="24"/>
          <w:szCs w:val="24"/>
        </w:rPr>
        <w:lastRenderedPageBreak/>
        <w:t>- проведение мониторинга качества финансового менеджмента, осуществляемого подведомственными ГРБС муниципальными учреждениями;</w:t>
      </w:r>
    </w:p>
    <w:p w:rsidR="00754BF8" w:rsidRPr="00DB72EF" w:rsidRDefault="00754B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2EF">
        <w:rPr>
          <w:rFonts w:ascii="Times New Roman" w:hAnsi="Times New Roman" w:cs="Times New Roman"/>
          <w:sz w:val="24"/>
          <w:szCs w:val="24"/>
        </w:rPr>
        <w:t>- составление и ведение кассового плана исполнения бюджета города Югорска;</w:t>
      </w:r>
    </w:p>
    <w:p w:rsidR="00754BF8" w:rsidRPr="00DB72EF" w:rsidRDefault="00754B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2EF">
        <w:rPr>
          <w:rFonts w:ascii="Times New Roman" w:hAnsi="Times New Roman" w:cs="Times New Roman"/>
          <w:sz w:val="24"/>
          <w:szCs w:val="24"/>
        </w:rPr>
        <w:t>- увеличение доходов от приносящей доход деятельности;</w:t>
      </w:r>
    </w:p>
    <w:p w:rsidR="00754BF8" w:rsidRPr="00DB72EF" w:rsidRDefault="00754BF8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B72EF">
        <w:rPr>
          <w:rFonts w:ascii="Times New Roman" w:hAnsi="Times New Roman" w:cs="Times New Roman"/>
          <w:sz w:val="24"/>
          <w:szCs w:val="24"/>
        </w:rPr>
        <w:t>- уменьшение дебиторской задолженности по доходам.</w:t>
      </w:r>
    </w:p>
    <w:p w:rsidR="00664336" w:rsidRPr="00DB72EF" w:rsidRDefault="00664336" w:rsidP="000A1B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72EF">
        <w:rPr>
          <w:rFonts w:ascii="Times New Roman" w:hAnsi="Times New Roman" w:cs="Times New Roman"/>
          <w:sz w:val="24"/>
          <w:szCs w:val="24"/>
        </w:rPr>
        <w:t>Всем ГАБС рекомендуется также обратить особое внимание на неукоснительное соблюдение сроков предоставления</w:t>
      </w:r>
      <w:r w:rsidR="006478D4" w:rsidRPr="00DB72EF">
        <w:rPr>
          <w:rFonts w:ascii="Times New Roman" w:hAnsi="Times New Roman" w:cs="Times New Roman"/>
          <w:sz w:val="24"/>
          <w:szCs w:val="24"/>
        </w:rPr>
        <w:t xml:space="preserve"> в Департамент финансов документов и материалов, необходимых для составления проекта бюджета города, </w:t>
      </w:r>
      <w:r w:rsidR="00305174" w:rsidRPr="00DB72EF">
        <w:rPr>
          <w:rFonts w:ascii="Times New Roman" w:hAnsi="Times New Roman" w:cs="Times New Roman"/>
          <w:sz w:val="24"/>
          <w:szCs w:val="24"/>
        </w:rPr>
        <w:t xml:space="preserve">обоснований бюджетных ассигнований, </w:t>
      </w:r>
      <w:r w:rsidR="00754BF8" w:rsidRPr="00DB72EF">
        <w:rPr>
          <w:rFonts w:ascii="Times New Roman" w:hAnsi="Times New Roman" w:cs="Times New Roman"/>
          <w:sz w:val="24"/>
          <w:szCs w:val="24"/>
        </w:rPr>
        <w:t>утверждённой бюджетной росписи, информаций, отчетов, аналитических данных по вопросам планирования и исполнения бюджета города, а также на</w:t>
      </w:r>
      <w:r w:rsidRPr="00DB72EF">
        <w:rPr>
          <w:rFonts w:ascii="Times New Roman" w:hAnsi="Times New Roman" w:cs="Times New Roman"/>
          <w:sz w:val="24"/>
          <w:szCs w:val="24"/>
        </w:rPr>
        <w:t xml:space="preserve"> качество составляемых документов</w:t>
      </w:r>
      <w:r w:rsidR="00754BF8" w:rsidRPr="00DB72EF">
        <w:rPr>
          <w:rFonts w:ascii="Times New Roman" w:hAnsi="Times New Roman" w:cs="Times New Roman"/>
          <w:sz w:val="24"/>
          <w:szCs w:val="24"/>
        </w:rPr>
        <w:t xml:space="preserve"> и предоставляемой бюджетной отчетности</w:t>
      </w:r>
      <w:r w:rsidRPr="00DB72EF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F47BC" w:rsidRPr="009A1A75" w:rsidRDefault="006F47BC" w:rsidP="00D8189C">
      <w:pPr>
        <w:ind w:firstLine="708"/>
        <w:jc w:val="both"/>
        <w:rPr>
          <w:color w:val="FF0000"/>
          <w:sz w:val="24"/>
          <w:szCs w:val="24"/>
        </w:rPr>
      </w:pPr>
    </w:p>
    <w:p w:rsidR="00D8189C" w:rsidRPr="005C791D" w:rsidRDefault="00D8189C" w:rsidP="007B3379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D8189C" w:rsidRPr="005C791D" w:rsidSect="007E67E8">
      <w:headerReference w:type="default" r:id="rId20"/>
      <w:type w:val="oddPage"/>
      <w:pgSz w:w="11906" w:h="16838" w:code="9"/>
      <w:pgMar w:top="568" w:right="566" w:bottom="568" w:left="1134" w:header="284" w:footer="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0813" w:rsidRDefault="00880813" w:rsidP="00C44D5B">
      <w:pPr>
        <w:spacing w:after="0" w:line="240" w:lineRule="auto"/>
      </w:pPr>
      <w:r>
        <w:separator/>
      </w:r>
    </w:p>
  </w:endnote>
  <w:endnote w:type="continuationSeparator" w:id="0">
    <w:p w:rsidR="00880813" w:rsidRDefault="00880813" w:rsidP="00C44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0813" w:rsidRDefault="00880813" w:rsidP="00C44D5B">
      <w:pPr>
        <w:spacing w:after="0" w:line="240" w:lineRule="auto"/>
      </w:pPr>
      <w:r>
        <w:separator/>
      </w:r>
    </w:p>
  </w:footnote>
  <w:footnote w:type="continuationSeparator" w:id="0">
    <w:p w:rsidR="00880813" w:rsidRDefault="00880813" w:rsidP="00C44D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389842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880813" w:rsidRPr="005202C1" w:rsidRDefault="00880813">
        <w:pPr>
          <w:pStyle w:val="a6"/>
          <w:jc w:val="right"/>
          <w:rPr>
            <w:rFonts w:ascii="Times New Roman" w:hAnsi="Times New Roman" w:cs="Times New Roman"/>
            <w:sz w:val="20"/>
            <w:szCs w:val="20"/>
          </w:rPr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87E25"/>
    <w:multiLevelType w:val="hybridMultilevel"/>
    <w:tmpl w:val="4D866A8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F737B9"/>
    <w:multiLevelType w:val="hybridMultilevel"/>
    <w:tmpl w:val="C042459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0BAE5376"/>
    <w:multiLevelType w:val="hybridMultilevel"/>
    <w:tmpl w:val="9580B3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B46894"/>
    <w:multiLevelType w:val="hybridMultilevel"/>
    <w:tmpl w:val="63E48106"/>
    <w:lvl w:ilvl="0" w:tplc="0419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4">
    <w:nsid w:val="1BC21F2B"/>
    <w:multiLevelType w:val="hybridMultilevel"/>
    <w:tmpl w:val="DCAEA6F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8200888"/>
    <w:multiLevelType w:val="hybridMultilevel"/>
    <w:tmpl w:val="F3CC68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6F188F"/>
    <w:multiLevelType w:val="hybridMultilevel"/>
    <w:tmpl w:val="BC5A7F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2AE73AA"/>
    <w:multiLevelType w:val="hybridMultilevel"/>
    <w:tmpl w:val="3E96510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2CD16C5"/>
    <w:multiLevelType w:val="hybridMultilevel"/>
    <w:tmpl w:val="5A8C2D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1E29ED"/>
    <w:multiLevelType w:val="hybridMultilevel"/>
    <w:tmpl w:val="E78C64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956477"/>
    <w:multiLevelType w:val="hybridMultilevel"/>
    <w:tmpl w:val="FD94B2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5473751A"/>
    <w:multiLevelType w:val="hybridMultilevel"/>
    <w:tmpl w:val="6A76A96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61B056F0"/>
    <w:multiLevelType w:val="hybridMultilevel"/>
    <w:tmpl w:val="EE4207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64667C19"/>
    <w:multiLevelType w:val="hybridMultilevel"/>
    <w:tmpl w:val="5E58BE1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6BF443E8"/>
    <w:multiLevelType w:val="hybridMultilevel"/>
    <w:tmpl w:val="DC6253DA"/>
    <w:lvl w:ilvl="0" w:tplc="0419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15">
    <w:nsid w:val="7A611D10"/>
    <w:multiLevelType w:val="multilevel"/>
    <w:tmpl w:val="2348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EBB2105"/>
    <w:multiLevelType w:val="hybridMultilevel"/>
    <w:tmpl w:val="F856871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6"/>
  </w:num>
  <w:num w:numId="4">
    <w:abstractNumId w:val="12"/>
  </w:num>
  <w:num w:numId="5">
    <w:abstractNumId w:val="8"/>
  </w:num>
  <w:num w:numId="6">
    <w:abstractNumId w:val="3"/>
  </w:num>
  <w:num w:numId="7">
    <w:abstractNumId w:val="15"/>
  </w:num>
  <w:num w:numId="8">
    <w:abstractNumId w:val="9"/>
  </w:num>
  <w:num w:numId="9">
    <w:abstractNumId w:val="7"/>
  </w:num>
  <w:num w:numId="10">
    <w:abstractNumId w:val="10"/>
  </w:num>
  <w:num w:numId="11">
    <w:abstractNumId w:val="6"/>
  </w:num>
  <w:num w:numId="12">
    <w:abstractNumId w:val="5"/>
  </w:num>
  <w:num w:numId="13">
    <w:abstractNumId w:val="11"/>
  </w:num>
  <w:num w:numId="14">
    <w:abstractNumId w:val="13"/>
  </w:num>
  <w:num w:numId="15">
    <w:abstractNumId w:val="1"/>
  </w:num>
  <w:num w:numId="16">
    <w:abstractNumId w:val="4"/>
  </w:num>
  <w:num w:numId="17">
    <w:abstractNumId w:val="1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390B"/>
    <w:rsid w:val="000003B1"/>
    <w:rsid w:val="00003100"/>
    <w:rsid w:val="00003E10"/>
    <w:rsid w:val="00005481"/>
    <w:rsid w:val="000065A7"/>
    <w:rsid w:val="0000698E"/>
    <w:rsid w:val="00006A4E"/>
    <w:rsid w:val="000129F0"/>
    <w:rsid w:val="0001303A"/>
    <w:rsid w:val="00013A1B"/>
    <w:rsid w:val="00013B74"/>
    <w:rsid w:val="00015CB1"/>
    <w:rsid w:val="00016AD2"/>
    <w:rsid w:val="0001701C"/>
    <w:rsid w:val="00017079"/>
    <w:rsid w:val="00017AB4"/>
    <w:rsid w:val="00022469"/>
    <w:rsid w:val="00022A3D"/>
    <w:rsid w:val="00022DD6"/>
    <w:rsid w:val="00024033"/>
    <w:rsid w:val="00025D60"/>
    <w:rsid w:val="0002766D"/>
    <w:rsid w:val="00031730"/>
    <w:rsid w:val="00031BDE"/>
    <w:rsid w:val="00037094"/>
    <w:rsid w:val="00037BD0"/>
    <w:rsid w:val="000404C2"/>
    <w:rsid w:val="000419AE"/>
    <w:rsid w:val="0004371B"/>
    <w:rsid w:val="0004656D"/>
    <w:rsid w:val="00046E45"/>
    <w:rsid w:val="0004743E"/>
    <w:rsid w:val="00047440"/>
    <w:rsid w:val="000505C6"/>
    <w:rsid w:val="00050C55"/>
    <w:rsid w:val="00054168"/>
    <w:rsid w:val="000542E1"/>
    <w:rsid w:val="00054F96"/>
    <w:rsid w:val="000567D0"/>
    <w:rsid w:val="00057182"/>
    <w:rsid w:val="0005794C"/>
    <w:rsid w:val="00057BA5"/>
    <w:rsid w:val="00057D2D"/>
    <w:rsid w:val="00065A90"/>
    <w:rsid w:val="00066B41"/>
    <w:rsid w:val="000670A9"/>
    <w:rsid w:val="0006795C"/>
    <w:rsid w:val="000679F8"/>
    <w:rsid w:val="00071210"/>
    <w:rsid w:val="00073357"/>
    <w:rsid w:val="000746E3"/>
    <w:rsid w:val="00074AAF"/>
    <w:rsid w:val="00074DED"/>
    <w:rsid w:val="000806E4"/>
    <w:rsid w:val="0008132D"/>
    <w:rsid w:val="00081779"/>
    <w:rsid w:val="0008471A"/>
    <w:rsid w:val="00087978"/>
    <w:rsid w:val="0009251A"/>
    <w:rsid w:val="000929D9"/>
    <w:rsid w:val="00093069"/>
    <w:rsid w:val="00094386"/>
    <w:rsid w:val="00096D4D"/>
    <w:rsid w:val="00097B4E"/>
    <w:rsid w:val="000A0531"/>
    <w:rsid w:val="000A1543"/>
    <w:rsid w:val="000A1BC8"/>
    <w:rsid w:val="000A25C0"/>
    <w:rsid w:val="000A2914"/>
    <w:rsid w:val="000A3E2A"/>
    <w:rsid w:val="000A5840"/>
    <w:rsid w:val="000A5C1D"/>
    <w:rsid w:val="000A60BA"/>
    <w:rsid w:val="000B0D57"/>
    <w:rsid w:val="000B144B"/>
    <w:rsid w:val="000B23B2"/>
    <w:rsid w:val="000B36EB"/>
    <w:rsid w:val="000B52BE"/>
    <w:rsid w:val="000B73A0"/>
    <w:rsid w:val="000B73BD"/>
    <w:rsid w:val="000C390B"/>
    <w:rsid w:val="000C4F76"/>
    <w:rsid w:val="000C557F"/>
    <w:rsid w:val="000C787B"/>
    <w:rsid w:val="000D0EBD"/>
    <w:rsid w:val="000D3337"/>
    <w:rsid w:val="000D4625"/>
    <w:rsid w:val="000D52DC"/>
    <w:rsid w:val="000D52F6"/>
    <w:rsid w:val="000E0861"/>
    <w:rsid w:val="000E2C49"/>
    <w:rsid w:val="000E45D2"/>
    <w:rsid w:val="000E4AD5"/>
    <w:rsid w:val="000E50A4"/>
    <w:rsid w:val="000E5F25"/>
    <w:rsid w:val="000F10C6"/>
    <w:rsid w:val="000F1384"/>
    <w:rsid w:val="000F1DDE"/>
    <w:rsid w:val="0010037B"/>
    <w:rsid w:val="001017BC"/>
    <w:rsid w:val="001056B4"/>
    <w:rsid w:val="001065E0"/>
    <w:rsid w:val="00107B0A"/>
    <w:rsid w:val="0011031D"/>
    <w:rsid w:val="0011035F"/>
    <w:rsid w:val="00110368"/>
    <w:rsid w:val="00110ABD"/>
    <w:rsid w:val="0011397C"/>
    <w:rsid w:val="00114616"/>
    <w:rsid w:val="00115A5C"/>
    <w:rsid w:val="0011723A"/>
    <w:rsid w:val="001206D2"/>
    <w:rsid w:val="00131DD9"/>
    <w:rsid w:val="0013453D"/>
    <w:rsid w:val="00135F96"/>
    <w:rsid w:val="00136CE7"/>
    <w:rsid w:val="00136DAB"/>
    <w:rsid w:val="00145D64"/>
    <w:rsid w:val="00145F7B"/>
    <w:rsid w:val="00152173"/>
    <w:rsid w:val="001525E9"/>
    <w:rsid w:val="001525FF"/>
    <w:rsid w:val="0015292F"/>
    <w:rsid w:val="00152A72"/>
    <w:rsid w:val="00153C06"/>
    <w:rsid w:val="00153F0A"/>
    <w:rsid w:val="001553A7"/>
    <w:rsid w:val="00157550"/>
    <w:rsid w:val="00161C80"/>
    <w:rsid w:val="00165E84"/>
    <w:rsid w:val="001669F4"/>
    <w:rsid w:val="001707FB"/>
    <w:rsid w:val="001712C9"/>
    <w:rsid w:val="001724CD"/>
    <w:rsid w:val="00174238"/>
    <w:rsid w:val="00174DEE"/>
    <w:rsid w:val="001768D3"/>
    <w:rsid w:val="00176F6B"/>
    <w:rsid w:val="00180147"/>
    <w:rsid w:val="00181322"/>
    <w:rsid w:val="001823B8"/>
    <w:rsid w:val="001836A9"/>
    <w:rsid w:val="00190A9F"/>
    <w:rsid w:val="001912C9"/>
    <w:rsid w:val="00191B53"/>
    <w:rsid w:val="00192AAE"/>
    <w:rsid w:val="001978EB"/>
    <w:rsid w:val="001978F6"/>
    <w:rsid w:val="00197B4F"/>
    <w:rsid w:val="00197CCD"/>
    <w:rsid w:val="00197EB4"/>
    <w:rsid w:val="001A3848"/>
    <w:rsid w:val="001A38D1"/>
    <w:rsid w:val="001A408C"/>
    <w:rsid w:val="001A5F92"/>
    <w:rsid w:val="001B1417"/>
    <w:rsid w:val="001B233C"/>
    <w:rsid w:val="001B4C6E"/>
    <w:rsid w:val="001B626D"/>
    <w:rsid w:val="001B7EAF"/>
    <w:rsid w:val="001C2338"/>
    <w:rsid w:val="001C3567"/>
    <w:rsid w:val="001C3C36"/>
    <w:rsid w:val="001C4291"/>
    <w:rsid w:val="001C63D6"/>
    <w:rsid w:val="001D1B49"/>
    <w:rsid w:val="001D272C"/>
    <w:rsid w:val="001D4C78"/>
    <w:rsid w:val="001D5409"/>
    <w:rsid w:val="001D6EDC"/>
    <w:rsid w:val="001E25E4"/>
    <w:rsid w:val="001E2BB6"/>
    <w:rsid w:val="001E49E7"/>
    <w:rsid w:val="001E4D13"/>
    <w:rsid w:val="001E5D7E"/>
    <w:rsid w:val="001E7887"/>
    <w:rsid w:val="001F27A1"/>
    <w:rsid w:val="001F28ED"/>
    <w:rsid w:val="001F3128"/>
    <w:rsid w:val="001F4365"/>
    <w:rsid w:val="001F4CD4"/>
    <w:rsid w:val="001F58FA"/>
    <w:rsid w:val="001F5CD7"/>
    <w:rsid w:val="001F61A3"/>
    <w:rsid w:val="001F6B89"/>
    <w:rsid w:val="00200099"/>
    <w:rsid w:val="00200E9D"/>
    <w:rsid w:val="00203DD4"/>
    <w:rsid w:val="0020454B"/>
    <w:rsid w:val="00205875"/>
    <w:rsid w:val="00205F66"/>
    <w:rsid w:val="002100B6"/>
    <w:rsid w:val="00210217"/>
    <w:rsid w:val="0021098B"/>
    <w:rsid w:val="002121D8"/>
    <w:rsid w:val="00213485"/>
    <w:rsid w:val="002142AE"/>
    <w:rsid w:val="00214CC9"/>
    <w:rsid w:val="002150D8"/>
    <w:rsid w:val="002155EA"/>
    <w:rsid w:val="00217D7E"/>
    <w:rsid w:val="00225EDA"/>
    <w:rsid w:val="002269D1"/>
    <w:rsid w:val="0022715B"/>
    <w:rsid w:val="0023216B"/>
    <w:rsid w:val="00234B04"/>
    <w:rsid w:val="0023518B"/>
    <w:rsid w:val="00235602"/>
    <w:rsid w:val="00237567"/>
    <w:rsid w:val="00242C97"/>
    <w:rsid w:val="002440F4"/>
    <w:rsid w:val="00244910"/>
    <w:rsid w:val="0024575B"/>
    <w:rsid w:val="00246E71"/>
    <w:rsid w:val="00247765"/>
    <w:rsid w:val="0024776D"/>
    <w:rsid w:val="00247F36"/>
    <w:rsid w:val="002500ED"/>
    <w:rsid w:val="002514A0"/>
    <w:rsid w:val="00251D75"/>
    <w:rsid w:val="00255E96"/>
    <w:rsid w:val="002563E5"/>
    <w:rsid w:val="00260D4A"/>
    <w:rsid w:val="0026260B"/>
    <w:rsid w:val="00262932"/>
    <w:rsid w:val="002648BE"/>
    <w:rsid w:val="00265A8C"/>
    <w:rsid w:val="002661BA"/>
    <w:rsid w:val="0026696B"/>
    <w:rsid w:val="00266EAD"/>
    <w:rsid w:val="0026738A"/>
    <w:rsid w:val="00267942"/>
    <w:rsid w:val="00267F4C"/>
    <w:rsid w:val="002714FF"/>
    <w:rsid w:val="00272270"/>
    <w:rsid w:val="002725E1"/>
    <w:rsid w:val="00273675"/>
    <w:rsid w:val="002753DD"/>
    <w:rsid w:val="002754AE"/>
    <w:rsid w:val="002757C3"/>
    <w:rsid w:val="00276DD0"/>
    <w:rsid w:val="00277278"/>
    <w:rsid w:val="00280588"/>
    <w:rsid w:val="002818D8"/>
    <w:rsid w:val="00282E22"/>
    <w:rsid w:val="0028343A"/>
    <w:rsid w:val="00283A92"/>
    <w:rsid w:val="00284CBD"/>
    <w:rsid w:val="00285954"/>
    <w:rsid w:val="00286468"/>
    <w:rsid w:val="0028658E"/>
    <w:rsid w:val="002869DF"/>
    <w:rsid w:val="00286BD9"/>
    <w:rsid w:val="00286D41"/>
    <w:rsid w:val="0028729E"/>
    <w:rsid w:val="002878ED"/>
    <w:rsid w:val="00287F2D"/>
    <w:rsid w:val="00291F5C"/>
    <w:rsid w:val="002945A6"/>
    <w:rsid w:val="002949C4"/>
    <w:rsid w:val="002957B6"/>
    <w:rsid w:val="00297467"/>
    <w:rsid w:val="00297C22"/>
    <w:rsid w:val="002A124C"/>
    <w:rsid w:val="002A3119"/>
    <w:rsid w:val="002A61E0"/>
    <w:rsid w:val="002A708C"/>
    <w:rsid w:val="002B01E7"/>
    <w:rsid w:val="002B0525"/>
    <w:rsid w:val="002B33BB"/>
    <w:rsid w:val="002B348E"/>
    <w:rsid w:val="002B545B"/>
    <w:rsid w:val="002B6B43"/>
    <w:rsid w:val="002C0015"/>
    <w:rsid w:val="002C0ABD"/>
    <w:rsid w:val="002C414E"/>
    <w:rsid w:val="002C462F"/>
    <w:rsid w:val="002C4D9E"/>
    <w:rsid w:val="002C6A40"/>
    <w:rsid w:val="002C7144"/>
    <w:rsid w:val="002D2945"/>
    <w:rsid w:val="002D3027"/>
    <w:rsid w:val="002D6AA7"/>
    <w:rsid w:val="002D768A"/>
    <w:rsid w:val="002D7A03"/>
    <w:rsid w:val="002D7E85"/>
    <w:rsid w:val="002D7FF5"/>
    <w:rsid w:val="002E0A55"/>
    <w:rsid w:val="002E0D34"/>
    <w:rsid w:val="002E212E"/>
    <w:rsid w:val="002E548C"/>
    <w:rsid w:val="002E57E0"/>
    <w:rsid w:val="002E70F4"/>
    <w:rsid w:val="002E74BF"/>
    <w:rsid w:val="002F2DE5"/>
    <w:rsid w:val="002F4111"/>
    <w:rsid w:val="002F556B"/>
    <w:rsid w:val="002F5A02"/>
    <w:rsid w:val="002F5BCA"/>
    <w:rsid w:val="002F5CE8"/>
    <w:rsid w:val="002F62E9"/>
    <w:rsid w:val="003006EB"/>
    <w:rsid w:val="00301FCC"/>
    <w:rsid w:val="00302F1C"/>
    <w:rsid w:val="003043C2"/>
    <w:rsid w:val="00305174"/>
    <w:rsid w:val="0030633E"/>
    <w:rsid w:val="00313661"/>
    <w:rsid w:val="0031646D"/>
    <w:rsid w:val="00316629"/>
    <w:rsid w:val="003173CD"/>
    <w:rsid w:val="0032232D"/>
    <w:rsid w:val="00323AEF"/>
    <w:rsid w:val="00325B32"/>
    <w:rsid w:val="003269E1"/>
    <w:rsid w:val="00326D3C"/>
    <w:rsid w:val="0032793B"/>
    <w:rsid w:val="00327FE9"/>
    <w:rsid w:val="00330EB6"/>
    <w:rsid w:val="0033112C"/>
    <w:rsid w:val="003317C7"/>
    <w:rsid w:val="00333191"/>
    <w:rsid w:val="003357C8"/>
    <w:rsid w:val="00336231"/>
    <w:rsid w:val="003401F6"/>
    <w:rsid w:val="0034034B"/>
    <w:rsid w:val="003421EB"/>
    <w:rsid w:val="003428B9"/>
    <w:rsid w:val="00342980"/>
    <w:rsid w:val="003452C9"/>
    <w:rsid w:val="00345978"/>
    <w:rsid w:val="00346EDB"/>
    <w:rsid w:val="00350EC0"/>
    <w:rsid w:val="00351B29"/>
    <w:rsid w:val="00353170"/>
    <w:rsid w:val="0035337E"/>
    <w:rsid w:val="0035565B"/>
    <w:rsid w:val="0035599C"/>
    <w:rsid w:val="00356377"/>
    <w:rsid w:val="00357305"/>
    <w:rsid w:val="003603A8"/>
    <w:rsid w:val="00360BE2"/>
    <w:rsid w:val="0036379B"/>
    <w:rsid w:val="003640CD"/>
    <w:rsid w:val="003654EB"/>
    <w:rsid w:val="00365BE3"/>
    <w:rsid w:val="00374683"/>
    <w:rsid w:val="00375213"/>
    <w:rsid w:val="00375518"/>
    <w:rsid w:val="003775D4"/>
    <w:rsid w:val="00380051"/>
    <w:rsid w:val="00380C83"/>
    <w:rsid w:val="0038112B"/>
    <w:rsid w:val="00383F57"/>
    <w:rsid w:val="003854FD"/>
    <w:rsid w:val="00386FAA"/>
    <w:rsid w:val="00390D17"/>
    <w:rsid w:val="0039122E"/>
    <w:rsid w:val="00394B21"/>
    <w:rsid w:val="00394EC2"/>
    <w:rsid w:val="003955CA"/>
    <w:rsid w:val="0039600A"/>
    <w:rsid w:val="003A2752"/>
    <w:rsid w:val="003A39EC"/>
    <w:rsid w:val="003A3C15"/>
    <w:rsid w:val="003A76F1"/>
    <w:rsid w:val="003A79CA"/>
    <w:rsid w:val="003B2944"/>
    <w:rsid w:val="003B2B03"/>
    <w:rsid w:val="003B6015"/>
    <w:rsid w:val="003B7FD4"/>
    <w:rsid w:val="003C11CF"/>
    <w:rsid w:val="003C16FD"/>
    <w:rsid w:val="003C3F11"/>
    <w:rsid w:val="003C77FE"/>
    <w:rsid w:val="003D072D"/>
    <w:rsid w:val="003D0D62"/>
    <w:rsid w:val="003D0E8A"/>
    <w:rsid w:val="003D1236"/>
    <w:rsid w:val="003D13E0"/>
    <w:rsid w:val="003D2CB9"/>
    <w:rsid w:val="003D6AC0"/>
    <w:rsid w:val="003E1682"/>
    <w:rsid w:val="003E3A94"/>
    <w:rsid w:val="003E5231"/>
    <w:rsid w:val="003E5460"/>
    <w:rsid w:val="003E5D40"/>
    <w:rsid w:val="003E651B"/>
    <w:rsid w:val="003E6715"/>
    <w:rsid w:val="003F2809"/>
    <w:rsid w:val="003F28E7"/>
    <w:rsid w:val="003F58DA"/>
    <w:rsid w:val="003F7D83"/>
    <w:rsid w:val="004018D0"/>
    <w:rsid w:val="00401A55"/>
    <w:rsid w:val="004038F0"/>
    <w:rsid w:val="00414737"/>
    <w:rsid w:val="00415397"/>
    <w:rsid w:val="00415990"/>
    <w:rsid w:val="00416766"/>
    <w:rsid w:val="00417B3B"/>
    <w:rsid w:val="00417BF3"/>
    <w:rsid w:val="00421C63"/>
    <w:rsid w:val="00424848"/>
    <w:rsid w:val="00424D42"/>
    <w:rsid w:val="00425A7E"/>
    <w:rsid w:val="00425BF9"/>
    <w:rsid w:val="00425C0E"/>
    <w:rsid w:val="00426EFE"/>
    <w:rsid w:val="00427958"/>
    <w:rsid w:val="00431531"/>
    <w:rsid w:val="00435225"/>
    <w:rsid w:val="00436475"/>
    <w:rsid w:val="0043743C"/>
    <w:rsid w:val="004418A5"/>
    <w:rsid w:val="00441A34"/>
    <w:rsid w:val="00443807"/>
    <w:rsid w:val="00444661"/>
    <w:rsid w:val="00445690"/>
    <w:rsid w:val="0044600D"/>
    <w:rsid w:val="00450242"/>
    <w:rsid w:val="00450F9F"/>
    <w:rsid w:val="004525D2"/>
    <w:rsid w:val="00455114"/>
    <w:rsid w:val="00455EB5"/>
    <w:rsid w:val="00456727"/>
    <w:rsid w:val="00456987"/>
    <w:rsid w:val="00460290"/>
    <w:rsid w:val="00462FB8"/>
    <w:rsid w:val="00463351"/>
    <w:rsid w:val="00464D7C"/>
    <w:rsid w:val="00465BB9"/>
    <w:rsid w:val="00471812"/>
    <w:rsid w:val="004735FA"/>
    <w:rsid w:val="00473609"/>
    <w:rsid w:val="00475054"/>
    <w:rsid w:val="00477650"/>
    <w:rsid w:val="0048098F"/>
    <w:rsid w:val="00483C32"/>
    <w:rsid w:val="00485823"/>
    <w:rsid w:val="004861F5"/>
    <w:rsid w:val="00490B04"/>
    <w:rsid w:val="004910B1"/>
    <w:rsid w:val="004923DE"/>
    <w:rsid w:val="00495978"/>
    <w:rsid w:val="004966CB"/>
    <w:rsid w:val="00496B26"/>
    <w:rsid w:val="00497268"/>
    <w:rsid w:val="004A0759"/>
    <w:rsid w:val="004A2CF5"/>
    <w:rsid w:val="004A328F"/>
    <w:rsid w:val="004A48BD"/>
    <w:rsid w:val="004A4A65"/>
    <w:rsid w:val="004A58E1"/>
    <w:rsid w:val="004A6E1B"/>
    <w:rsid w:val="004B049E"/>
    <w:rsid w:val="004B1407"/>
    <w:rsid w:val="004B292F"/>
    <w:rsid w:val="004B3446"/>
    <w:rsid w:val="004B34D0"/>
    <w:rsid w:val="004B52A9"/>
    <w:rsid w:val="004B6388"/>
    <w:rsid w:val="004B64CD"/>
    <w:rsid w:val="004B6ADD"/>
    <w:rsid w:val="004B6C8E"/>
    <w:rsid w:val="004C2359"/>
    <w:rsid w:val="004C333B"/>
    <w:rsid w:val="004C4B87"/>
    <w:rsid w:val="004C69E7"/>
    <w:rsid w:val="004C6F0D"/>
    <w:rsid w:val="004D2769"/>
    <w:rsid w:val="004D3302"/>
    <w:rsid w:val="004D3CBD"/>
    <w:rsid w:val="004D3F26"/>
    <w:rsid w:val="004D4714"/>
    <w:rsid w:val="004E1737"/>
    <w:rsid w:val="004E196A"/>
    <w:rsid w:val="004E1D3D"/>
    <w:rsid w:val="004E2532"/>
    <w:rsid w:val="004E27BD"/>
    <w:rsid w:val="004E2DC4"/>
    <w:rsid w:val="004E3A18"/>
    <w:rsid w:val="004E4B91"/>
    <w:rsid w:val="004E7451"/>
    <w:rsid w:val="004F03F4"/>
    <w:rsid w:val="004F04F1"/>
    <w:rsid w:val="004F3E8D"/>
    <w:rsid w:val="004F4067"/>
    <w:rsid w:val="004F4938"/>
    <w:rsid w:val="004F49BF"/>
    <w:rsid w:val="004F4D6B"/>
    <w:rsid w:val="004F6587"/>
    <w:rsid w:val="00501F37"/>
    <w:rsid w:val="00503181"/>
    <w:rsid w:val="0050429C"/>
    <w:rsid w:val="005047D2"/>
    <w:rsid w:val="00507DC2"/>
    <w:rsid w:val="00512A8E"/>
    <w:rsid w:val="005141B3"/>
    <w:rsid w:val="005146A6"/>
    <w:rsid w:val="0051571E"/>
    <w:rsid w:val="00516E1E"/>
    <w:rsid w:val="005202C1"/>
    <w:rsid w:val="00520A23"/>
    <w:rsid w:val="00520D0C"/>
    <w:rsid w:val="00521057"/>
    <w:rsid w:val="0052161F"/>
    <w:rsid w:val="00521CEE"/>
    <w:rsid w:val="00523E67"/>
    <w:rsid w:val="00524D60"/>
    <w:rsid w:val="00524EE2"/>
    <w:rsid w:val="00533AB2"/>
    <w:rsid w:val="00535E6B"/>
    <w:rsid w:val="005367B6"/>
    <w:rsid w:val="00536FEB"/>
    <w:rsid w:val="00537097"/>
    <w:rsid w:val="00541784"/>
    <w:rsid w:val="00544FB0"/>
    <w:rsid w:val="005503AF"/>
    <w:rsid w:val="0055208A"/>
    <w:rsid w:val="005530F6"/>
    <w:rsid w:val="0055350D"/>
    <w:rsid w:val="005543C3"/>
    <w:rsid w:val="00556A22"/>
    <w:rsid w:val="00557666"/>
    <w:rsid w:val="005579B8"/>
    <w:rsid w:val="005618AD"/>
    <w:rsid w:val="005639A1"/>
    <w:rsid w:val="00563CE5"/>
    <w:rsid w:val="00563E5C"/>
    <w:rsid w:val="00566128"/>
    <w:rsid w:val="0056782F"/>
    <w:rsid w:val="00567D94"/>
    <w:rsid w:val="0057036D"/>
    <w:rsid w:val="00571785"/>
    <w:rsid w:val="0057397C"/>
    <w:rsid w:val="00574899"/>
    <w:rsid w:val="00576709"/>
    <w:rsid w:val="00584798"/>
    <w:rsid w:val="005878F1"/>
    <w:rsid w:val="005879B2"/>
    <w:rsid w:val="005902D0"/>
    <w:rsid w:val="005911E5"/>
    <w:rsid w:val="005938A3"/>
    <w:rsid w:val="00593DE9"/>
    <w:rsid w:val="00594D62"/>
    <w:rsid w:val="00595B04"/>
    <w:rsid w:val="00596BEA"/>
    <w:rsid w:val="00596DF9"/>
    <w:rsid w:val="00597629"/>
    <w:rsid w:val="00597F5D"/>
    <w:rsid w:val="005A0B9B"/>
    <w:rsid w:val="005A0F66"/>
    <w:rsid w:val="005A32B5"/>
    <w:rsid w:val="005B19D8"/>
    <w:rsid w:val="005B363A"/>
    <w:rsid w:val="005B4020"/>
    <w:rsid w:val="005B689F"/>
    <w:rsid w:val="005B6B3D"/>
    <w:rsid w:val="005C06D6"/>
    <w:rsid w:val="005C091C"/>
    <w:rsid w:val="005C1677"/>
    <w:rsid w:val="005C18C6"/>
    <w:rsid w:val="005C2C2C"/>
    <w:rsid w:val="005C4266"/>
    <w:rsid w:val="005C48E6"/>
    <w:rsid w:val="005C4D37"/>
    <w:rsid w:val="005C791D"/>
    <w:rsid w:val="005C7F25"/>
    <w:rsid w:val="005D0C2A"/>
    <w:rsid w:val="005D0D02"/>
    <w:rsid w:val="005D20AC"/>
    <w:rsid w:val="005D3009"/>
    <w:rsid w:val="005D34E9"/>
    <w:rsid w:val="005D55A3"/>
    <w:rsid w:val="005D5609"/>
    <w:rsid w:val="005D568E"/>
    <w:rsid w:val="005D6B1E"/>
    <w:rsid w:val="005E06D7"/>
    <w:rsid w:val="005E109A"/>
    <w:rsid w:val="005E2B0E"/>
    <w:rsid w:val="005E3330"/>
    <w:rsid w:val="005E3CA1"/>
    <w:rsid w:val="005E4A2D"/>
    <w:rsid w:val="005E65B0"/>
    <w:rsid w:val="005F385C"/>
    <w:rsid w:val="005F48DD"/>
    <w:rsid w:val="005F4905"/>
    <w:rsid w:val="005F49C9"/>
    <w:rsid w:val="005F4CD2"/>
    <w:rsid w:val="005F5150"/>
    <w:rsid w:val="005F7FF5"/>
    <w:rsid w:val="0060091F"/>
    <w:rsid w:val="00600A22"/>
    <w:rsid w:val="006010F4"/>
    <w:rsid w:val="006012C0"/>
    <w:rsid w:val="006013D7"/>
    <w:rsid w:val="00602C2E"/>
    <w:rsid w:val="00605B4D"/>
    <w:rsid w:val="00605BCE"/>
    <w:rsid w:val="00606C7F"/>
    <w:rsid w:val="00612359"/>
    <w:rsid w:val="00613EC5"/>
    <w:rsid w:val="00614F15"/>
    <w:rsid w:val="006174E5"/>
    <w:rsid w:val="00621506"/>
    <w:rsid w:val="00622676"/>
    <w:rsid w:val="00622C90"/>
    <w:rsid w:val="006256A5"/>
    <w:rsid w:val="00626E33"/>
    <w:rsid w:val="00630836"/>
    <w:rsid w:val="00630D6C"/>
    <w:rsid w:val="006311A4"/>
    <w:rsid w:val="00633B60"/>
    <w:rsid w:val="0063558A"/>
    <w:rsid w:val="0063623F"/>
    <w:rsid w:val="00636714"/>
    <w:rsid w:val="00636976"/>
    <w:rsid w:val="00640254"/>
    <w:rsid w:val="00642FE1"/>
    <w:rsid w:val="00643E7C"/>
    <w:rsid w:val="00645D6F"/>
    <w:rsid w:val="00645E43"/>
    <w:rsid w:val="006478D4"/>
    <w:rsid w:val="00647B3E"/>
    <w:rsid w:val="00651911"/>
    <w:rsid w:val="006542C2"/>
    <w:rsid w:val="00654BA6"/>
    <w:rsid w:val="00655660"/>
    <w:rsid w:val="00655E73"/>
    <w:rsid w:val="00661DE2"/>
    <w:rsid w:val="00662636"/>
    <w:rsid w:val="00663586"/>
    <w:rsid w:val="006637E1"/>
    <w:rsid w:val="00664336"/>
    <w:rsid w:val="00665EBB"/>
    <w:rsid w:val="00667055"/>
    <w:rsid w:val="006701B3"/>
    <w:rsid w:val="00670374"/>
    <w:rsid w:val="00670559"/>
    <w:rsid w:val="00670628"/>
    <w:rsid w:val="00670C2A"/>
    <w:rsid w:val="00672728"/>
    <w:rsid w:val="00673A98"/>
    <w:rsid w:val="00676EDF"/>
    <w:rsid w:val="00681282"/>
    <w:rsid w:val="006835D6"/>
    <w:rsid w:val="00683D87"/>
    <w:rsid w:val="006950AF"/>
    <w:rsid w:val="00696958"/>
    <w:rsid w:val="00696C97"/>
    <w:rsid w:val="006A0281"/>
    <w:rsid w:val="006A06EF"/>
    <w:rsid w:val="006A3959"/>
    <w:rsid w:val="006B0F89"/>
    <w:rsid w:val="006B372B"/>
    <w:rsid w:val="006B3FA1"/>
    <w:rsid w:val="006B47D8"/>
    <w:rsid w:val="006B4AC4"/>
    <w:rsid w:val="006B7910"/>
    <w:rsid w:val="006C26A0"/>
    <w:rsid w:val="006C6D94"/>
    <w:rsid w:val="006D029C"/>
    <w:rsid w:val="006D1A83"/>
    <w:rsid w:val="006D1C09"/>
    <w:rsid w:val="006D2AC9"/>
    <w:rsid w:val="006D6CC3"/>
    <w:rsid w:val="006D7C95"/>
    <w:rsid w:val="006E0009"/>
    <w:rsid w:val="006E1CED"/>
    <w:rsid w:val="006E1EEA"/>
    <w:rsid w:val="006E2659"/>
    <w:rsid w:val="006E2FA8"/>
    <w:rsid w:val="006E7CF4"/>
    <w:rsid w:val="006F1613"/>
    <w:rsid w:val="006F2C9E"/>
    <w:rsid w:val="006F2F81"/>
    <w:rsid w:val="006F3BA9"/>
    <w:rsid w:val="006F433D"/>
    <w:rsid w:val="006F47BC"/>
    <w:rsid w:val="007011E1"/>
    <w:rsid w:val="00701FBD"/>
    <w:rsid w:val="00702CFA"/>
    <w:rsid w:val="00706348"/>
    <w:rsid w:val="00707F3E"/>
    <w:rsid w:val="00711487"/>
    <w:rsid w:val="007116E3"/>
    <w:rsid w:val="00711B84"/>
    <w:rsid w:val="00712C3E"/>
    <w:rsid w:val="00715089"/>
    <w:rsid w:val="0071603B"/>
    <w:rsid w:val="007169AF"/>
    <w:rsid w:val="00721527"/>
    <w:rsid w:val="00721F38"/>
    <w:rsid w:val="0072217D"/>
    <w:rsid w:val="00722BDE"/>
    <w:rsid w:val="0072440E"/>
    <w:rsid w:val="00724B4F"/>
    <w:rsid w:val="00726FE1"/>
    <w:rsid w:val="007331D5"/>
    <w:rsid w:val="00733BB4"/>
    <w:rsid w:val="0073413D"/>
    <w:rsid w:val="00734303"/>
    <w:rsid w:val="00734467"/>
    <w:rsid w:val="00734AEC"/>
    <w:rsid w:val="00734E86"/>
    <w:rsid w:val="00735580"/>
    <w:rsid w:val="00736479"/>
    <w:rsid w:val="007369B0"/>
    <w:rsid w:val="00740C0A"/>
    <w:rsid w:val="00741354"/>
    <w:rsid w:val="00741A0C"/>
    <w:rsid w:val="007445F4"/>
    <w:rsid w:val="00746D82"/>
    <w:rsid w:val="00746DFE"/>
    <w:rsid w:val="00747E25"/>
    <w:rsid w:val="00747EB2"/>
    <w:rsid w:val="007504C1"/>
    <w:rsid w:val="00750931"/>
    <w:rsid w:val="00751FD4"/>
    <w:rsid w:val="00754BF8"/>
    <w:rsid w:val="00754D5E"/>
    <w:rsid w:val="007554D0"/>
    <w:rsid w:val="00756074"/>
    <w:rsid w:val="00763B4D"/>
    <w:rsid w:val="00763BFC"/>
    <w:rsid w:val="00764706"/>
    <w:rsid w:val="0076524D"/>
    <w:rsid w:val="00771344"/>
    <w:rsid w:val="00774541"/>
    <w:rsid w:val="00775B6A"/>
    <w:rsid w:val="007765EC"/>
    <w:rsid w:val="00780851"/>
    <w:rsid w:val="007809CF"/>
    <w:rsid w:val="00780DCB"/>
    <w:rsid w:val="007830AC"/>
    <w:rsid w:val="0078472C"/>
    <w:rsid w:val="00786901"/>
    <w:rsid w:val="0079160E"/>
    <w:rsid w:val="0079359D"/>
    <w:rsid w:val="007A2897"/>
    <w:rsid w:val="007A41BE"/>
    <w:rsid w:val="007A542A"/>
    <w:rsid w:val="007A578A"/>
    <w:rsid w:val="007A66DD"/>
    <w:rsid w:val="007A742F"/>
    <w:rsid w:val="007A7C1A"/>
    <w:rsid w:val="007B032F"/>
    <w:rsid w:val="007B1AE5"/>
    <w:rsid w:val="007B321B"/>
    <w:rsid w:val="007B3379"/>
    <w:rsid w:val="007B3BAB"/>
    <w:rsid w:val="007B5F2B"/>
    <w:rsid w:val="007C2D62"/>
    <w:rsid w:val="007C37A1"/>
    <w:rsid w:val="007C39F3"/>
    <w:rsid w:val="007C4D70"/>
    <w:rsid w:val="007C62F5"/>
    <w:rsid w:val="007C7E44"/>
    <w:rsid w:val="007D0638"/>
    <w:rsid w:val="007D109E"/>
    <w:rsid w:val="007D4549"/>
    <w:rsid w:val="007D49C5"/>
    <w:rsid w:val="007D4EB7"/>
    <w:rsid w:val="007D725F"/>
    <w:rsid w:val="007D76EC"/>
    <w:rsid w:val="007E3840"/>
    <w:rsid w:val="007E46DB"/>
    <w:rsid w:val="007E5995"/>
    <w:rsid w:val="007E5DEA"/>
    <w:rsid w:val="007E67E8"/>
    <w:rsid w:val="007E6E76"/>
    <w:rsid w:val="007E75DE"/>
    <w:rsid w:val="007E7AD8"/>
    <w:rsid w:val="007F00F1"/>
    <w:rsid w:val="007F2F02"/>
    <w:rsid w:val="007F3D93"/>
    <w:rsid w:val="007F4762"/>
    <w:rsid w:val="007F4B6A"/>
    <w:rsid w:val="007F5640"/>
    <w:rsid w:val="007F5FA9"/>
    <w:rsid w:val="007F641A"/>
    <w:rsid w:val="007F6929"/>
    <w:rsid w:val="0080062E"/>
    <w:rsid w:val="0080133C"/>
    <w:rsid w:val="008015BE"/>
    <w:rsid w:val="00803A10"/>
    <w:rsid w:val="008042D6"/>
    <w:rsid w:val="00805C6F"/>
    <w:rsid w:val="0080717B"/>
    <w:rsid w:val="008108C7"/>
    <w:rsid w:val="00811B81"/>
    <w:rsid w:val="00811D45"/>
    <w:rsid w:val="00812B5E"/>
    <w:rsid w:val="008139DA"/>
    <w:rsid w:val="00816C98"/>
    <w:rsid w:val="00817BFD"/>
    <w:rsid w:val="00821A87"/>
    <w:rsid w:val="00822652"/>
    <w:rsid w:val="00826D5D"/>
    <w:rsid w:val="00827FD4"/>
    <w:rsid w:val="0083060F"/>
    <w:rsid w:val="00830B07"/>
    <w:rsid w:val="00830C5C"/>
    <w:rsid w:val="00833483"/>
    <w:rsid w:val="0083349E"/>
    <w:rsid w:val="00833FB4"/>
    <w:rsid w:val="00835854"/>
    <w:rsid w:val="0083586E"/>
    <w:rsid w:val="00837839"/>
    <w:rsid w:val="00841086"/>
    <w:rsid w:val="0084738F"/>
    <w:rsid w:val="00847651"/>
    <w:rsid w:val="008566D7"/>
    <w:rsid w:val="008579D8"/>
    <w:rsid w:val="0086125A"/>
    <w:rsid w:val="00866C8C"/>
    <w:rsid w:val="008671CD"/>
    <w:rsid w:val="008677E3"/>
    <w:rsid w:val="008700A2"/>
    <w:rsid w:val="008706E4"/>
    <w:rsid w:val="00870E34"/>
    <w:rsid w:val="008719E0"/>
    <w:rsid w:val="00871D9A"/>
    <w:rsid w:val="00873FAF"/>
    <w:rsid w:val="00874BDF"/>
    <w:rsid w:val="00874DBE"/>
    <w:rsid w:val="00876525"/>
    <w:rsid w:val="00880813"/>
    <w:rsid w:val="00881414"/>
    <w:rsid w:val="008825C9"/>
    <w:rsid w:val="0088379F"/>
    <w:rsid w:val="008838CF"/>
    <w:rsid w:val="0088397F"/>
    <w:rsid w:val="008862B6"/>
    <w:rsid w:val="008876F5"/>
    <w:rsid w:val="00887771"/>
    <w:rsid w:val="0089231A"/>
    <w:rsid w:val="00892F3F"/>
    <w:rsid w:val="008944E0"/>
    <w:rsid w:val="00897666"/>
    <w:rsid w:val="00897E1E"/>
    <w:rsid w:val="008A02B0"/>
    <w:rsid w:val="008A13FB"/>
    <w:rsid w:val="008A4036"/>
    <w:rsid w:val="008A6EDD"/>
    <w:rsid w:val="008A7498"/>
    <w:rsid w:val="008B05D5"/>
    <w:rsid w:val="008B0709"/>
    <w:rsid w:val="008B11B5"/>
    <w:rsid w:val="008B24D9"/>
    <w:rsid w:val="008B3670"/>
    <w:rsid w:val="008B4BE9"/>
    <w:rsid w:val="008B5672"/>
    <w:rsid w:val="008B5EBA"/>
    <w:rsid w:val="008B62C3"/>
    <w:rsid w:val="008C4D56"/>
    <w:rsid w:val="008C51B6"/>
    <w:rsid w:val="008C7952"/>
    <w:rsid w:val="008D1DD7"/>
    <w:rsid w:val="008D59E3"/>
    <w:rsid w:val="008D5A92"/>
    <w:rsid w:val="008D63D2"/>
    <w:rsid w:val="008D6D61"/>
    <w:rsid w:val="008F208A"/>
    <w:rsid w:val="008F39E4"/>
    <w:rsid w:val="008F4D57"/>
    <w:rsid w:val="008F5678"/>
    <w:rsid w:val="008F5D02"/>
    <w:rsid w:val="008F6F1B"/>
    <w:rsid w:val="00900098"/>
    <w:rsid w:val="009001A7"/>
    <w:rsid w:val="0090273E"/>
    <w:rsid w:val="00903326"/>
    <w:rsid w:val="00904F07"/>
    <w:rsid w:val="00905517"/>
    <w:rsid w:val="009057D8"/>
    <w:rsid w:val="00905854"/>
    <w:rsid w:val="009069F8"/>
    <w:rsid w:val="00907A11"/>
    <w:rsid w:val="00912686"/>
    <w:rsid w:val="00915588"/>
    <w:rsid w:val="00915B6F"/>
    <w:rsid w:val="00916D87"/>
    <w:rsid w:val="00917630"/>
    <w:rsid w:val="00917E00"/>
    <w:rsid w:val="009200CE"/>
    <w:rsid w:val="00922A18"/>
    <w:rsid w:val="00924329"/>
    <w:rsid w:val="0092534D"/>
    <w:rsid w:val="00925935"/>
    <w:rsid w:val="00925A51"/>
    <w:rsid w:val="00925B55"/>
    <w:rsid w:val="009264A6"/>
    <w:rsid w:val="00926E73"/>
    <w:rsid w:val="00927F0F"/>
    <w:rsid w:val="00930883"/>
    <w:rsid w:val="00931B59"/>
    <w:rsid w:val="00933956"/>
    <w:rsid w:val="009361F8"/>
    <w:rsid w:val="0093621E"/>
    <w:rsid w:val="00937B11"/>
    <w:rsid w:val="00941C29"/>
    <w:rsid w:val="00942043"/>
    <w:rsid w:val="00942A9B"/>
    <w:rsid w:val="00944409"/>
    <w:rsid w:val="00945014"/>
    <w:rsid w:val="00945552"/>
    <w:rsid w:val="00945BA4"/>
    <w:rsid w:val="009464FA"/>
    <w:rsid w:val="00946886"/>
    <w:rsid w:val="00946BF9"/>
    <w:rsid w:val="009528B7"/>
    <w:rsid w:val="00952E3A"/>
    <w:rsid w:val="009571AE"/>
    <w:rsid w:val="00960434"/>
    <w:rsid w:val="00961590"/>
    <w:rsid w:val="009616BD"/>
    <w:rsid w:val="00964278"/>
    <w:rsid w:val="00964CDB"/>
    <w:rsid w:val="0096500A"/>
    <w:rsid w:val="0096573E"/>
    <w:rsid w:val="009664AB"/>
    <w:rsid w:val="0096773C"/>
    <w:rsid w:val="00970F6D"/>
    <w:rsid w:val="00972614"/>
    <w:rsid w:val="0097340C"/>
    <w:rsid w:val="00975D6A"/>
    <w:rsid w:val="00982D56"/>
    <w:rsid w:val="00982E26"/>
    <w:rsid w:val="00983442"/>
    <w:rsid w:val="0098349A"/>
    <w:rsid w:val="00984487"/>
    <w:rsid w:val="009848DD"/>
    <w:rsid w:val="009871B4"/>
    <w:rsid w:val="0099005A"/>
    <w:rsid w:val="009917D8"/>
    <w:rsid w:val="00993F26"/>
    <w:rsid w:val="00995673"/>
    <w:rsid w:val="009A1A75"/>
    <w:rsid w:val="009A1ACF"/>
    <w:rsid w:val="009A5351"/>
    <w:rsid w:val="009B029F"/>
    <w:rsid w:val="009B2401"/>
    <w:rsid w:val="009B3CDE"/>
    <w:rsid w:val="009B47F3"/>
    <w:rsid w:val="009B615E"/>
    <w:rsid w:val="009B61A1"/>
    <w:rsid w:val="009B6D11"/>
    <w:rsid w:val="009B6FFA"/>
    <w:rsid w:val="009C0384"/>
    <w:rsid w:val="009C0FD3"/>
    <w:rsid w:val="009C1984"/>
    <w:rsid w:val="009C316C"/>
    <w:rsid w:val="009C45AB"/>
    <w:rsid w:val="009C6ED4"/>
    <w:rsid w:val="009D0F98"/>
    <w:rsid w:val="009D16BD"/>
    <w:rsid w:val="009D18DE"/>
    <w:rsid w:val="009D1906"/>
    <w:rsid w:val="009D20E2"/>
    <w:rsid w:val="009D3115"/>
    <w:rsid w:val="009D3D21"/>
    <w:rsid w:val="009D4959"/>
    <w:rsid w:val="009D58A8"/>
    <w:rsid w:val="009D7F57"/>
    <w:rsid w:val="009E07B9"/>
    <w:rsid w:val="009E0ABF"/>
    <w:rsid w:val="009E0BBB"/>
    <w:rsid w:val="009E3B0F"/>
    <w:rsid w:val="009E5D3A"/>
    <w:rsid w:val="009F261B"/>
    <w:rsid w:val="009F28AF"/>
    <w:rsid w:val="009F70AE"/>
    <w:rsid w:val="00A01B93"/>
    <w:rsid w:val="00A03498"/>
    <w:rsid w:val="00A0357A"/>
    <w:rsid w:val="00A0407F"/>
    <w:rsid w:val="00A04B24"/>
    <w:rsid w:val="00A10CCE"/>
    <w:rsid w:val="00A11B17"/>
    <w:rsid w:val="00A13F86"/>
    <w:rsid w:val="00A16C21"/>
    <w:rsid w:val="00A2092C"/>
    <w:rsid w:val="00A2113B"/>
    <w:rsid w:val="00A217C1"/>
    <w:rsid w:val="00A24940"/>
    <w:rsid w:val="00A25BA8"/>
    <w:rsid w:val="00A25E0F"/>
    <w:rsid w:val="00A322B5"/>
    <w:rsid w:val="00A33939"/>
    <w:rsid w:val="00A34AA5"/>
    <w:rsid w:val="00A3640D"/>
    <w:rsid w:val="00A3660E"/>
    <w:rsid w:val="00A36957"/>
    <w:rsid w:val="00A40E35"/>
    <w:rsid w:val="00A43309"/>
    <w:rsid w:val="00A441F7"/>
    <w:rsid w:val="00A45BB2"/>
    <w:rsid w:val="00A46ECA"/>
    <w:rsid w:val="00A514F5"/>
    <w:rsid w:val="00A5272A"/>
    <w:rsid w:val="00A52B95"/>
    <w:rsid w:val="00A5325D"/>
    <w:rsid w:val="00A53954"/>
    <w:rsid w:val="00A57204"/>
    <w:rsid w:val="00A62883"/>
    <w:rsid w:val="00A62A6E"/>
    <w:rsid w:val="00A62B53"/>
    <w:rsid w:val="00A669C1"/>
    <w:rsid w:val="00A7003F"/>
    <w:rsid w:val="00A72948"/>
    <w:rsid w:val="00A72B95"/>
    <w:rsid w:val="00A72C74"/>
    <w:rsid w:val="00A758A4"/>
    <w:rsid w:val="00A77625"/>
    <w:rsid w:val="00A81317"/>
    <w:rsid w:val="00A84079"/>
    <w:rsid w:val="00A8428B"/>
    <w:rsid w:val="00A843FD"/>
    <w:rsid w:val="00A8495E"/>
    <w:rsid w:val="00A86567"/>
    <w:rsid w:val="00A91CAC"/>
    <w:rsid w:val="00A95F14"/>
    <w:rsid w:val="00A97BCC"/>
    <w:rsid w:val="00A97CC7"/>
    <w:rsid w:val="00AA45E1"/>
    <w:rsid w:val="00AA4973"/>
    <w:rsid w:val="00AB0537"/>
    <w:rsid w:val="00AB121C"/>
    <w:rsid w:val="00AB3941"/>
    <w:rsid w:val="00AB7566"/>
    <w:rsid w:val="00AC2F92"/>
    <w:rsid w:val="00AC3EAF"/>
    <w:rsid w:val="00AC4685"/>
    <w:rsid w:val="00AC7243"/>
    <w:rsid w:val="00AC7740"/>
    <w:rsid w:val="00AD0307"/>
    <w:rsid w:val="00AD12AC"/>
    <w:rsid w:val="00AD18F7"/>
    <w:rsid w:val="00AD27A3"/>
    <w:rsid w:val="00AD49E7"/>
    <w:rsid w:val="00AD7FB7"/>
    <w:rsid w:val="00AE2C3E"/>
    <w:rsid w:val="00AE5E22"/>
    <w:rsid w:val="00AE646C"/>
    <w:rsid w:val="00AE7357"/>
    <w:rsid w:val="00AE7877"/>
    <w:rsid w:val="00AE78B1"/>
    <w:rsid w:val="00AE7E17"/>
    <w:rsid w:val="00AF108F"/>
    <w:rsid w:val="00AF4B69"/>
    <w:rsid w:val="00AF4D11"/>
    <w:rsid w:val="00AF5B60"/>
    <w:rsid w:val="00AF7D5D"/>
    <w:rsid w:val="00B013C8"/>
    <w:rsid w:val="00B01B40"/>
    <w:rsid w:val="00B0383C"/>
    <w:rsid w:val="00B03C49"/>
    <w:rsid w:val="00B05907"/>
    <w:rsid w:val="00B05938"/>
    <w:rsid w:val="00B0625D"/>
    <w:rsid w:val="00B10841"/>
    <w:rsid w:val="00B126CD"/>
    <w:rsid w:val="00B142F5"/>
    <w:rsid w:val="00B14538"/>
    <w:rsid w:val="00B151A9"/>
    <w:rsid w:val="00B15D7A"/>
    <w:rsid w:val="00B176AB"/>
    <w:rsid w:val="00B20378"/>
    <w:rsid w:val="00B21318"/>
    <w:rsid w:val="00B21B3A"/>
    <w:rsid w:val="00B227D2"/>
    <w:rsid w:val="00B22FA5"/>
    <w:rsid w:val="00B237C5"/>
    <w:rsid w:val="00B25253"/>
    <w:rsid w:val="00B25EC9"/>
    <w:rsid w:val="00B26D5C"/>
    <w:rsid w:val="00B30E53"/>
    <w:rsid w:val="00B335B2"/>
    <w:rsid w:val="00B33A74"/>
    <w:rsid w:val="00B341BA"/>
    <w:rsid w:val="00B34F61"/>
    <w:rsid w:val="00B35458"/>
    <w:rsid w:val="00B359C1"/>
    <w:rsid w:val="00B3681C"/>
    <w:rsid w:val="00B409BA"/>
    <w:rsid w:val="00B41D62"/>
    <w:rsid w:val="00B42B17"/>
    <w:rsid w:val="00B42FED"/>
    <w:rsid w:val="00B46FA1"/>
    <w:rsid w:val="00B5131A"/>
    <w:rsid w:val="00B516EC"/>
    <w:rsid w:val="00B51A57"/>
    <w:rsid w:val="00B533EB"/>
    <w:rsid w:val="00B56C94"/>
    <w:rsid w:val="00B61867"/>
    <w:rsid w:val="00B622D1"/>
    <w:rsid w:val="00B62B2E"/>
    <w:rsid w:val="00B64026"/>
    <w:rsid w:val="00B64A40"/>
    <w:rsid w:val="00B66E7E"/>
    <w:rsid w:val="00B711D7"/>
    <w:rsid w:val="00B728F9"/>
    <w:rsid w:val="00B75BE2"/>
    <w:rsid w:val="00B77714"/>
    <w:rsid w:val="00B77A02"/>
    <w:rsid w:val="00B81F9D"/>
    <w:rsid w:val="00B8562D"/>
    <w:rsid w:val="00B877D2"/>
    <w:rsid w:val="00B918AC"/>
    <w:rsid w:val="00B92484"/>
    <w:rsid w:val="00B92954"/>
    <w:rsid w:val="00B92ED3"/>
    <w:rsid w:val="00B9480E"/>
    <w:rsid w:val="00B9599B"/>
    <w:rsid w:val="00B9718E"/>
    <w:rsid w:val="00BA0A88"/>
    <w:rsid w:val="00BA4946"/>
    <w:rsid w:val="00BA55EE"/>
    <w:rsid w:val="00BA68DF"/>
    <w:rsid w:val="00BA6EF4"/>
    <w:rsid w:val="00BA70ED"/>
    <w:rsid w:val="00BB1569"/>
    <w:rsid w:val="00BB20D9"/>
    <w:rsid w:val="00BB24D7"/>
    <w:rsid w:val="00BB2C6F"/>
    <w:rsid w:val="00BB373F"/>
    <w:rsid w:val="00BB5CE6"/>
    <w:rsid w:val="00BB66A1"/>
    <w:rsid w:val="00BB6FE4"/>
    <w:rsid w:val="00BB7C68"/>
    <w:rsid w:val="00BC325C"/>
    <w:rsid w:val="00BC366A"/>
    <w:rsid w:val="00BC609B"/>
    <w:rsid w:val="00BC7828"/>
    <w:rsid w:val="00BD0D28"/>
    <w:rsid w:val="00BD0F04"/>
    <w:rsid w:val="00BD24BD"/>
    <w:rsid w:val="00BD2AFB"/>
    <w:rsid w:val="00BD2BED"/>
    <w:rsid w:val="00BD3FFA"/>
    <w:rsid w:val="00BD53EF"/>
    <w:rsid w:val="00BD57FA"/>
    <w:rsid w:val="00BD5DE8"/>
    <w:rsid w:val="00BD65AD"/>
    <w:rsid w:val="00BD6D7A"/>
    <w:rsid w:val="00BE2165"/>
    <w:rsid w:val="00BE2BF5"/>
    <w:rsid w:val="00BE6C9C"/>
    <w:rsid w:val="00BE72BB"/>
    <w:rsid w:val="00BE757D"/>
    <w:rsid w:val="00BF1809"/>
    <w:rsid w:val="00BF19A4"/>
    <w:rsid w:val="00BF38D9"/>
    <w:rsid w:val="00BF4519"/>
    <w:rsid w:val="00BF577C"/>
    <w:rsid w:val="00BF6F8D"/>
    <w:rsid w:val="00C0057C"/>
    <w:rsid w:val="00C00A6C"/>
    <w:rsid w:val="00C02CB4"/>
    <w:rsid w:val="00C11497"/>
    <w:rsid w:val="00C116F9"/>
    <w:rsid w:val="00C128C5"/>
    <w:rsid w:val="00C13E2C"/>
    <w:rsid w:val="00C176F4"/>
    <w:rsid w:val="00C2006E"/>
    <w:rsid w:val="00C20C82"/>
    <w:rsid w:val="00C20FD4"/>
    <w:rsid w:val="00C21282"/>
    <w:rsid w:val="00C21B16"/>
    <w:rsid w:val="00C262CC"/>
    <w:rsid w:val="00C307A8"/>
    <w:rsid w:val="00C30EBB"/>
    <w:rsid w:val="00C3114C"/>
    <w:rsid w:val="00C32039"/>
    <w:rsid w:val="00C33465"/>
    <w:rsid w:val="00C33BEC"/>
    <w:rsid w:val="00C3587A"/>
    <w:rsid w:val="00C35A69"/>
    <w:rsid w:val="00C36A28"/>
    <w:rsid w:val="00C37B84"/>
    <w:rsid w:val="00C37ED9"/>
    <w:rsid w:val="00C42E5C"/>
    <w:rsid w:val="00C44D5B"/>
    <w:rsid w:val="00C4541D"/>
    <w:rsid w:val="00C45681"/>
    <w:rsid w:val="00C46551"/>
    <w:rsid w:val="00C46609"/>
    <w:rsid w:val="00C468A7"/>
    <w:rsid w:val="00C52970"/>
    <w:rsid w:val="00C553E4"/>
    <w:rsid w:val="00C563E5"/>
    <w:rsid w:val="00C56CA5"/>
    <w:rsid w:val="00C5798B"/>
    <w:rsid w:val="00C6086A"/>
    <w:rsid w:val="00C611AA"/>
    <w:rsid w:val="00C61743"/>
    <w:rsid w:val="00C617E1"/>
    <w:rsid w:val="00C61BB9"/>
    <w:rsid w:val="00C62AEB"/>
    <w:rsid w:val="00C65496"/>
    <w:rsid w:val="00C660C9"/>
    <w:rsid w:val="00C728BC"/>
    <w:rsid w:val="00C73EA1"/>
    <w:rsid w:val="00C74785"/>
    <w:rsid w:val="00C74F93"/>
    <w:rsid w:val="00C75355"/>
    <w:rsid w:val="00C757DB"/>
    <w:rsid w:val="00C7696F"/>
    <w:rsid w:val="00C77522"/>
    <w:rsid w:val="00C82013"/>
    <w:rsid w:val="00C82375"/>
    <w:rsid w:val="00C86A1D"/>
    <w:rsid w:val="00C870C0"/>
    <w:rsid w:val="00C91AA2"/>
    <w:rsid w:val="00C91EFD"/>
    <w:rsid w:val="00C927AB"/>
    <w:rsid w:val="00C93748"/>
    <w:rsid w:val="00C94692"/>
    <w:rsid w:val="00C94A68"/>
    <w:rsid w:val="00C96A1A"/>
    <w:rsid w:val="00CA09EA"/>
    <w:rsid w:val="00CA4CEB"/>
    <w:rsid w:val="00CA5166"/>
    <w:rsid w:val="00CA529C"/>
    <w:rsid w:val="00CB0148"/>
    <w:rsid w:val="00CB0CBE"/>
    <w:rsid w:val="00CB10D7"/>
    <w:rsid w:val="00CB15D8"/>
    <w:rsid w:val="00CB2DC3"/>
    <w:rsid w:val="00CB39C5"/>
    <w:rsid w:val="00CB4466"/>
    <w:rsid w:val="00CB5377"/>
    <w:rsid w:val="00CB5A71"/>
    <w:rsid w:val="00CB6B71"/>
    <w:rsid w:val="00CB70ED"/>
    <w:rsid w:val="00CC15AA"/>
    <w:rsid w:val="00CC3800"/>
    <w:rsid w:val="00CC52DC"/>
    <w:rsid w:val="00CC7858"/>
    <w:rsid w:val="00CD016B"/>
    <w:rsid w:val="00CD06BA"/>
    <w:rsid w:val="00CD0B6B"/>
    <w:rsid w:val="00CD1427"/>
    <w:rsid w:val="00CD28F7"/>
    <w:rsid w:val="00CD42A5"/>
    <w:rsid w:val="00CD510F"/>
    <w:rsid w:val="00CD6AC2"/>
    <w:rsid w:val="00CD6D7B"/>
    <w:rsid w:val="00CD6E3F"/>
    <w:rsid w:val="00CD783A"/>
    <w:rsid w:val="00CE02E1"/>
    <w:rsid w:val="00CE4921"/>
    <w:rsid w:val="00CE5C60"/>
    <w:rsid w:val="00CF004B"/>
    <w:rsid w:val="00CF1604"/>
    <w:rsid w:val="00CF1B2B"/>
    <w:rsid w:val="00CF29EC"/>
    <w:rsid w:val="00CF3745"/>
    <w:rsid w:val="00CF38BF"/>
    <w:rsid w:val="00CF5939"/>
    <w:rsid w:val="00CF70ED"/>
    <w:rsid w:val="00D01A3A"/>
    <w:rsid w:val="00D02AEC"/>
    <w:rsid w:val="00D05112"/>
    <w:rsid w:val="00D106BD"/>
    <w:rsid w:val="00D10BDD"/>
    <w:rsid w:val="00D119FE"/>
    <w:rsid w:val="00D11A65"/>
    <w:rsid w:val="00D12EF6"/>
    <w:rsid w:val="00D13ACB"/>
    <w:rsid w:val="00D13E82"/>
    <w:rsid w:val="00D154AE"/>
    <w:rsid w:val="00D15667"/>
    <w:rsid w:val="00D175FF"/>
    <w:rsid w:val="00D23511"/>
    <w:rsid w:val="00D250FF"/>
    <w:rsid w:val="00D25C3E"/>
    <w:rsid w:val="00D26E3A"/>
    <w:rsid w:val="00D30585"/>
    <w:rsid w:val="00D3374E"/>
    <w:rsid w:val="00D337C5"/>
    <w:rsid w:val="00D34747"/>
    <w:rsid w:val="00D35080"/>
    <w:rsid w:val="00D35551"/>
    <w:rsid w:val="00D3602D"/>
    <w:rsid w:val="00D36929"/>
    <w:rsid w:val="00D36FFE"/>
    <w:rsid w:val="00D37B3B"/>
    <w:rsid w:val="00D4091D"/>
    <w:rsid w:val="00D41B5B"/>
    <w:rsid w:val="00D424D1"/>
    <w:rsid w:val="00D43FD6"/>
    <w:rsid w:val="00D45290"/>
    <w:rsid w:val="00D4720C"/>
    <w:rsid w:val="00D4796A"/>
    <w:rsid w:val="00D505A5"/>
    <w:rsid w:val="00D51CB0"/>
    <w:rsid w:val="00D52ECB"/>
    <w:rsid w:val="00D53CAE"/>
    <w:rsid w:val="00D55B22"/>
    <w:rsid w:val="00D624B8"/>
    <w:rsid w:val="00D6660B"/>
    <w:rsid w:val="00D70277"/>
    <w:rsid w:val="00D71E8E"/>
    <w:rsid w:val="00D74BBC"/>
    <w:rsid w:val="00D7688D"/>
    <w:rsid w:val="00D772A1"/>
    <w:rsid w:val="00D800C6"/>
    <w:rsid w:val="00D8189C"/>
    <w:rsid w:val="00D827FB"/>
    <w:rsid w:val="00D8512E"/>
    <w:rsid w:val="00D90C73"/>
    <w:rsid w:val="00D94791"/>
    <w:rsid w:val="00D95334"/>
    <w:rsid w:val="00D95EED"/>
    <w:rsid w:val="00D96B3B"/>
    <w:rsid w:val="00D96DA5"/>
    <w:rsid w:val="00D96E7B"/>
    <w:rsid w:val="00DA0F93"/>
    <w:rsid w:val="00DA3067"/>
    <w:rsid w:val="00DA66E2"/>
    <w:rsid w:val="00DA6CEE"/>
    <w:rsid w:val="00DA7905"/>
    <w:rsid w:val="00DB3077"/>
    <w:rsid w:val="00DB3B69"/>
    <w:rsid w:val="00DB72BC"/>
    <w:rsid w:val="00DB72EF"/>
    <w:rsid w:val="00DB7818"/>
    <w:rsid w:val="00DC04D9"/>
    <w:rsid w:val="00DC0CA8"/>
    <w:rsid w:val="00DC10D5"/>
    <w:rsid w:val="00DC1914"/>
    <w:rsid w:val="00DC587A"/>
    <w:rsid w:val="00DC5CD8"/>
    <w:rsid w:val="00DD0CAF"/>
    <w:rsid w:val="00DD1103"/>
    <w:rsid w:val="00DD1691"/>
    <w:rsid w:val="00DD2D3A"/>
    <w:rsid w:val="00DD2F67"/>
    <w:rsid w:val="00DD3D3D"/>
    <w:rsid w:val="00DD5689"/>
    <w:rsid w:val="00DD57AF"/>
    <w:rsid w:val="00DE1C4D"/>
    <w:rsid w:val="00DE3FDA"/>
    <w:rsid w:val="00DE4D39"/>
    <w:rsid w:val="00DE5016"/>
    <w:rsid w:val="00DE5195"/>
    <w:rsid w:val="00DF440B"/>
    <w:rsid w:val="00DF6D8D"/>
    <w:rsid w:val="00DF7C50"/>
    <w:rsid w:val="00DF7DBE"/>
    <w:rsid w:val="00E00B45"/>
    <w:rsid w:val="00E00C70"/>
    <w:rsid w:val="00E0173E"/>
    <w:rsid w:val="00E01E53"/>
    <w:rsid w:val="00E03BCA"/>
    <w:rsid w:val="00E0400A"/>
    <w:rsid w:val="00E068A4"/>
    <w:rsid w:val="00E06ADD"/>
    <w:rsid w:val="00E07284"/>
    <w:rsid w:val="00E07420"/>
    <w:rsid w:val="00E10E19"/>
    <w:rsid w:val="00E1117C"/>
    <w:rsid w:val="00E11ECD"/>
    <w:rsid w:val="00E13612"/>
    <w:rsid w:val="00E1376E"/>
    <w:rsid w:val="00E152F3"/>
    <w:rsid w:val="00E167E3"/>
    <w:rsid w:val="00E171C8"/>
    <w:rsid w:val="00E175C7"/>
    <w:rsid w:val="00E216CF"/>
    <w:rsid w:val="00E2261F"/>
    <w:rsid w:val="00E22D42"/>
    <w:rsid w:val="00E24F4D"/>
    <w:rsid w:val="00E27AF3"/>
    <w:rsid w:val="00E27B54"/>
    <w:rsid w:val="00E301AD"/>
    <w:rsid w:val="00E3087B"/>
    <w:rsid w:val="00E31464"/>
    <w:rsid w:val="00E32D4F"/>
    <w:rsid w:val="00E37282"/>
    <w:rsid w:val="00E37B88"/>
    <w:rsid w:val="00E41EC6"/>
    <w:rsid w:val="00E42F53"/>
    <w:rsid w:val="00E4360A"/>
    <w:rsid w:val="00E438CE"/>
    <w:rsid w:val="00E44ADA"/>
    <w:rsid w:val="00E456A5"/>
    <w:rsid w:val="00E4787E"/>
    <w:rsid w:val="00E50111"/>
    <w:rsid w:val="00E528CC"/>
    <w:rsid w:val="00E529EB"/>
    <w:rsid w:val="00E530BE"/>
    <w:rsid w:val="00E533E0"/>
    <w:rsid w:val="00E54440"/>
    <w:rsid w:val="00E54696"/>
    <w:rsid w:val="00E56FCE"/>
    <w:rsid w:val="00E612C6"/>
    <w:rsid w:val="00E614A9"/>
    <w:rsid w:val="00E63B5C"/>
    <w:rsid w:val="00E65616"/>
    <w:rsid w:val="00E7105F"/>
    <w:rsid w:val="00E73094"/>
    <w:rsid w:val="00E73A46"/>
    <w:rsid w:val="00E741EC"/>
    <w:rsid w:val="00E74AE6"/>
    <w:rsid w:val="00E74F22"/>
    <w:rsid w:val="00E76ADE"/>
    <w:rsid w:val="00E8018C"/>
    <w:rsid w:val="00E83072"/>
    <w:rsid w:val="00E83314"/>
    <w:rsid w:val="00E85899"/>
    <w:rsid w:val="00E87376"/>
    <w:rsid w:val="00E8789E"/>
    <w:rsid w:val="00E87959"/>
    <w:rsid w:val="00E927AC"/>
    <w:rsid w:val="00E94C45"/>
    <w:rsid w:val="00E95C49"/>
    <w:rsid w:val="00E96506"/>
    <w:rsid w:val="00E97FC6"/>
    <w:rsid w:val="00EA1A1D"/>
    <w:rsid w:val="00EA4D34"/>
    <w:rsid w:val="00EA67DA"/>
    <w:rsid w:val="00EA79DE"/>
    <w:rsid w:val="00EA7E2D"/>
    <w:rsid w:val="00EB22C1"/>
    <w:rsid w:val="00EB2DF3"/>
    <w:rsid w:val="00EB3CF1"/>
    <w:rsid w:val="00EB4F74"/>
    <w:rsid w:val="00EB6330"/>
    <w:rsid w:val="00EB66F3"/>
    <w:rsid w:val="00EB6782"/>
    <w:rsid w:val="00EB7371"/>
    <w:rsid w:val="00EC2080"/>
    <w:rsid w:val="00EC360B"/>
    <w:rsid w:val="00EC4834"/>
    <w:rsid w:val="00EC5DF9"/>
    <w:rsid w:val="00ED0CF1"/>
    <w:rsid w:val="00ED5BE4"/>
    <w:rsid w:val="00EE0CA0"/>
    <w:rsid w:val="00EE3263"/>
    <w:rsid w:val="00EE371F"/>
    <w:rsid w:val="00EE3DF2"/>
    <w:rsid w:val="00EF0F34"/>
    <w:rsid w:val="00EF2765"/>
    <w:rsid w:val="00EF5901"/>
    <w:rsid w:val="00EF5ADA"/>
    <w:rsid w:val="00EF6F03"/>
    <w:rsid w:val="00EF712B"/>
    <w:rsid w:val="00EF7A44"/>
    <w:rsid w:val="00F01A5B"/>
    <w:rsid w:val="00F02969"/>
    <w:rsid w:val="00F0355A"/>
    <w:rsid w:val="00F07101"/>
    <w:rsid w:val="00F12049"/>
    <w:rsid w:val="00F1287C"/>
    <w:rsid w:val="00F145E2"/>
    <w:rsid w:val="00F14979"/>
    <w:rsid w:val="00F16561"/>
    <w:rsid w:val="00F17E5F"/>
    <w:rsid w:val="00F2083C"/>
    <w:rsid w:val="00F218E9"/>
    <w:rsid w:val="00F22DC8"/>
    <w:rsid w:val="00F26837"/>
    <w:rsid w:val="00F26DC8"/>
    <w:rsid w:val="00F30330"/>
    <w:rsid w:val="00F30DDF"/>
    <w:rsid w:val="00F30E39"/>
    <w:rsid w:val="00F31EE9"/>
    <w:rsid w:val="00F324B7"/>
    <w:rsid w:val="00F32F7F"/>
    <w:rsid w:val="00F33B57"/>
    <w:rsid w:val="00F3453D"/>
    <w:rsid w:val="00F34F69"/>
    <w:rsid w:val="00F3574C"/>
    <w:rsid w:val="00F37C7F"/>
    <w:rsid w:val="00F41168"/>
    <w:rsid w:val="00F41863"/>
    <w:rsid w:val="00F41DA9"/>
    <w:rsid w:val="00F43BD4"/>
    <w:rsid w:val="00F44A17"/>
    <w:rsid w:val="00F47B9A"/>
    <w:rsid w:val="00F47FA6"/>
    <w:rsid w:val="00F5041C"/>
    <w:rsid w:val="00F50BA6"/>
    <w:rsid w:val="00F534FA"/>
    <w:rsid w:val="00F54A90"/>
    <w:rsid w:val="00F5523D"/>
    <w:rsid w:val="00F552DF"/>
    <w:rsid w:val="00F56546"/>
    <w:rsid w:val="00F619F9"/>
    <w:rsid w:val="00F64324"/>
    <w:rsid w:val="00F6567E"/>
    <w:rsid w:val="00F65801"/>
    <w:rsid w:val="00F66514"/>
    <w:rsid w:val="00F66F78"/>
    <w:rsid w:val="00F673F0"/>
    <w:rsid w:val="00F70802"/>
    <w:rsid w:val="00F7088D"/>
    <w:rsid w:val="00F71727"/>
    <w:rsid w:val="00F727B8"/>
    <w:rsid w:val="00F73753"/>
    <w:rsid w:val="00F7508D"/>
    <w:rsid w:val="00F75BF7"/>
    <w:rsid w:val="00F768FB"/>
    <w:rsid w:val="00F7748B"/>
    <w:rsid w:val="00F77F87"/>
    <w:rsid w:val="00F8093B"/>
    <w:rsid w:val="00F811F4"/>
    <w:rsid w:val="00F838E7"/>
    <w:rsid w:val="00F83E95"/>
    <w:rsid w:val="00F84213"/>
    <w:rsid w:val="00F84694"/>
    <w:rsid w:val="00F84931"/>
    <w:rsid w:val="00F84C63"/>
    <w:rsid w:val="00F86008"/>
    <w:rsid w:val="00F90038"/>
    <w:rsid w:val="00F9136D"/>
    <w:rsid w:val="00FA0605"/>
    <w:rsid w:val="00FA254E"/>
    <w:rsid w:val="00FA26EB"/>
    <w:rsid w:val="00FA2A49"/>
    <w:rsid w:val="00FA7776"/>
    <w:rsid w:val="00FA7BD8"/>
    <w:rsid w:val="00FA7D64"/>
    <w:rsid w:val="00FB039A"/>
    <w:rsid w:val="00FB2FF1"/>
    <w:rsid w:val="00FB3876"/>
    <w:rsid w:val="00FB3F0E"/>
    <w:rsid w:val="00FB4297"/>
    <w:rsid w:val="00FB74B9"/>
    <w:rsid w:val="00FB7643"/>
    <w:rsid w:val="00FB77ED"/>
    <w:rsid w:val="00FC1248"/>
    <w:rsid w:val="00FC1853"/>
    <w:rsid w:val="00FC64F0"/>
    <w:rsid w:val="00FD04FD"/>
    <w:rsid w:val="00FD0FC5"/>
    <w:rsid w:val="00FD429C"/>
    <w:rsid w:val="00FD4707"/>
    <w:rsid w:val="00FD6E67"/>
    <w:rsid w:val="00FD799A"/>
    <w:rsid w:val="00FD7E4F"/>
    <w:rsid w:val="00FE136A"/>
    <w:rsid w:val="00FE18E3"/>
    <w:rsid w:val="00FE2828"/>
    <w:rsid w:val="00FE30F5"/>
    <w:rsid w:val="00FE652C"/>
    <w:rsid w:val="00FE6C43"/>
    <w:rsid w:val="00FF066B"/>
    <w:rsid w:val="00FF1329"/>
    <w:rsid w:val="00FF145B"/>
    <w:rsid w:val="00FF1541"/>
    <w:rsid w:val="00FF1D29"/>
    <w:rsid w:val="00FF4909"/>
    <w:rsid w:val="00FF5C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strokecolor="#00b050"/>
    </o:shapedefaults>
    <o:shapelayout v:ext="edit">
      <o:idmap v:ext="edit" data="1"/>
      <o:rules v:ext="edit">
        <o:r id="V:Rule3" type="connector" idref="#_x0000_s1027"/>
        <o:r id="V:Rule4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00D"/>
  </w:style>
  <w:style w:type="paragraph" w:styleId="1">
    <w:name w:val="heading 1"/>
    <w:basedOn w:val="a"/>
    <w:link w:val="10"/>
    <w:uiPriority w:val="9"/>
    <w:qFormat/>
    <w:rsid w:val="00D818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90B"/>
    <w:pPr>
      <w:spacing w:after="0"/>
      <w:ind w:left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semiHidden/>
    <w:unhideWhenUsed/>
    <w:rsid w:val="000C3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390B"/>
    <w:rPr>
      <w:rFonts w:ascii="Tahoma" w:hAnsi="Tahoma" w:cs="Tahoma"/>
      <w:sz w:val="16"/>
      <w:szCs w:val="16"/>
    </w:rPr>
  </w:style>
  <w:style w:type="paragraph" w:customStyle="1" w:styleId="CharCarChar">
    <w:name w:val="Char Car Char"/>
    <w:basedOn w:val="a"/>
    <w:rsid w:val="00FE282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unhideWhenUsed/>
    <w:rsid w:val="00C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4D5B"/>
  </w:style>
  <w:style w:type="paragraph" w:styleId="a8">
    <w:name w:val="footer"/>
    <w:basedOn w:val="a"/>
    <w:link w:val="a9"/>
    <w:uiPriority w:val="99"/>
    <w:unhideWhenUsed/>
    <w:rsid w:val="00C44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4D5B"/>
  </w:style>
  <w:style w:type="character" w:customStyle="1" w:styleId="apple-style-span">
    <w:name w:val="apple-style-span"/>
    <w:basedOn w:val="a0"/>
    <w:rsid w:val="00970F6D"/>
  </w:style>
  <w:style w:type="character" w:customStyle="1" w:styleId="apple-converted-space">
    <w:name w:val="apple-converted-space"/>
    <w:basedOn w:val="a0"/>
    <w:rsid w:val="00970F6D"/>
  </w:style>
  <w:style w:type="paragraph" w:styleId="aa">
    <w:name w:val="Normal (Web)"/>
    <w:basedOn w:val="a"/>
    <w:unhideWhenUsed/>
    <w:rsid w:val="00D41B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8189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D8189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D8189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D8189C"/>
    <w:pPr>
      <w:spacing w:after="0" w:line="360" w:lineRule="auto"/>
      <w:ind w:left="-360" w:firstLine="1066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D8189C"/>
    <w:rPr>
      <w:rFonts w:ascii="Times New Roman" w:eastAsia="Times New Roman" w:hAnsi="Times New Roman" w:cs="Times New Roman"/>
      <w:sz w:val="28"/>
      <w:szCs w:val="20"/>
    </w:rPr>
  </w:style>
  <w:style w:type="paragraph" w:styleId="ab">
    <w:name w:val="footnote text"/>
    <w:basedOn w:val="a"/>
    <w:link w:val="ac"/>
    <w:semiHidden/>
    <w:rsid w:val="00D81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Текст сноски Знак"/>
    <w:basedOn w:val="a0"/>
    <w:link w:val="ab"/>
    <w:semiHidden/>
    <w:rsid w:val="00D8189C"/>
    <w:rPr>
      <w:rFonts w:ascii="Times New Roman" w:eastAsia="Times New Roman" w:hAnsi="Times New Roman" w:cs="Times New Roman"/>
      <w:sz w:val="20"/>
      <w:szCs w:val="20"/>
    </w:rPr>
  </w:style>
  <w:style w:type="paragraph" w:customStyle="1" w:styleId="ad">
    <w:name w:val="a"/>
    <w:basedOn w:val="a"/>
    <w:rsid w:val="00D81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D818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e">
    <w:name w:val="Body Text Indent"/>
    <w:basedOn w:val="a"/>
    <w:link w:val="11"/>
    <w:rsid w:val="00D8189C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D8189C"/>
  </w:style>
  <w:style w:type="character" w:customStyle="1" w:styleId="11">
    <w:name w:val="Основной текст с отступом Знак1"/>
    <w:link w:val="ae"/>
    <w:locked/>
    <w:rsid w:val="00D8189C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Body Text"/>
    <w:basedOn w:val="a"/>
    <w:link w:val="af1"/>
    <w:uiPriority w:val="99"/>
    <w:semiHidden/>
    <w:unhideWhenUsed/>
    <w:rsid w:val="00D8189C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D8189C"/>
    <w:rPr>
      <w:rFonts w:ascii="Times New Roman" w:eastAsia="Times New Roman" w:hAnsi="Times New Roman" w:cs="Times New Roman"/>
      <w:sz w:val="20"/>
      <w:szCs w:val="20"/>
    </w:rPr>
  </w:style>
  <w:style w:type="paragraph" w:styleId="af2">
    <w:name w:val="Document Map"/>
    <w:basedOn w:val="a"/>
    <w:link w:val="af3"/>
    <w:uiPriority w:val="99"/>
    <w:semiHidden/>
    <w:unhideWhenUsed/>
    <w:rsid w:val="00B40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B409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chart" Target="charts/chart1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chart" Target="charts/chart10.xml"/><Relationship Id="rId2" Type="http://schemas.openxmlformats.org/officeDocument/2006/relationships/numbering" Target="numbering.xml"/><Relationship Id="rId16" Type="http://schemas.openxmlformats.org/officeDocument/2006/relationships/chart" Target="charts/chart9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19" Type="http://schemas.openxmlformats.org/officeDocument/2006/relationships/chart" Target="charts/chart12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10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3.xml"/><Relationship Id="rId1" Type="http://schemas.openxmlformats.org/officeDocument/2006/relationships/package" Target="../embeddings/_____Microsoft_Office_Excel10.xlsx"/></Relationships>
</file>

<file path=word/charts/_rels/chart1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4.xml"/><Relationship Id="rId1" Type="http://schemas.openxmlformats.org/officeDocument/2006/relationships/package" Target="../embeddings/_____Microsoft_Office_Excel11.xlsx"/></Relationships>
</file>

<file path=word/charts/_rels/chart1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5.xml"/><Relationship Id="rId1" Type="http://schemas.openxmlformats.org/officeDocument/2006/relationships/package" Target="../embeddings/_____Microsoft_Office_Excel12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7.xlsx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_____Microsoft_Office_Excel8.xlsx"/></Relationships>
</file>

<file path=word/charts/_rels/chart9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package" Target="../embeddings/_____Microsoft_Office_Excel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lnSpc>
                <a:spcPct val="125000"/>
              </a:lnSpc>
              <a:defRPr sz="1600"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Удельный вес групп показателей в оценке качества финансового менеджмента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 за 2016 год</a:t>
            </a:r>
            <a:r>
              <a:rPr lang="ru-RU" sz="1200"/>
              <a:t>
</a:t>
            </a:r>
          </a:p>
        </c:rich>
      </c:tx>
      <c:layout>
        <c:manualLayout>
          <c:xMode val="edge"/>
          <c:yMode val="edge"/>
          <c:x val="0.10452782050176157"/>
          <c:y val="0"/>
        </c:manualLayout>
      </c:layout>
    </c:title>
    <c:view3D>
      <c:rotX val="30"/>
      <c:perspective val="30"/>
    </c:view3D>
    <c:plotArea>
      <c:layout>
        <c:manualLayout>
          <c:layoutTarget val="inner"/>
          <c:xMode val="edge"/>
          <c:yMode val="edge"/>
          <c:x val="3.2981949921148755E-6"/>
          <c:y val="0.24913179290870488"/>
          <c:w val="0.64851503583079695"/>
          <c:h val="0.66331912623840916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Удельный вес групп показателей в итоговой оценке мониторинга качества финансового менеджмента
</c:v>
                </c:pt>
              </c:strCache>
            </c:strRef>
          </c:tx>
          <c:spPr>
            <a:scene3d>
              <a:camera prst="orthographicFront"/>
              <a:lightRig rig="threePt" dir="t"/>
            </a:scene3d>
            <a:sp3d>
              <a:bevelT w="165100" prst="coolSlant"/>
              <a:bevelB w="165100" prst="coolSlant"/>
            </a:sp3d>
          </c:spPr>
          <c:dLbls>
            <c:dLbl>
              <c:idx val="0"/>
              <c:layout>
                <c:manualLayout>
                  <c:x val="-0.1124953009906029"/>
                  <c:y val="5.3211234058298515E-2"/>
                </c:manualLayout>
              </c:layout>
              <c:showPercent val="1"/>
            </c:dLbl>
            <c:dLbl>
              <c:idx val="1"/>
              <c:layout>
                <c:manualLayout>
                  <c:x val="0.14566744237604423"/>
                  <c:y val="-0.16294399544005747"/>
                </c:manualLayout>
              </c:layout>
              <c:showPercent val="1"/>
            </c:dLbl>
            <c:dLbl>
              <c:idx val="2"/>
              <c:layout>
                <c:manualLayout>
                  <c:x val="0.10219143069259425"/>
                  <c:y val="7.0335471963471868E-2"/>
                </c:manualLayout>
              </c:layout>
              <c:showPercent val="1"/>
            </c:dLbl>
            <c:dLbl>
              <c:idx val="3"/>
              <c:layout>
                <c:manualLayout>
                  <c:x val="5.4975570583807212E-2"/>
                  <c:y val="8.2055463011595081E-2"/>
                </c:manualLayout>
              </c:layout>
              <c:showPercent val="1"/>
            </c:dLbl>
            <c:dLbl>
              <c:idx val="4"/>
              <c:layout>
                <c:manualLayout>
                  <c:x val="5.1964475612910704E-2"/>
                  <c:y val="0.12291600950777171"/>
                </c:manualLayout>
              </c:layout>
              <c:showPercent val="1"/>
            </c:dLbl>
            <c:dLbl>
              <c:idx val="5"/>
              <c:layout>
                <c:manualLayout>
                  <c:x val="7.4021844043688514E-2"/>
                  <c:y val="4.433868673904854E-2"/>
                </c:manualLayout>
              </c:layout>
              <c:showPercent val="1"/>
            </c:dLbl>
            <c:dLbl>
              <c:idx val="6"/>
              <c:layout>
                <c:manualLayout>
                  <c:x val="4.6973668614003893E-2"/>
                  <c:y val="7.1491669268213834E-2"/>
                </c:manualLayout>
              </c:layout>
              <c:showPercent val="1"/>
            </c:dLbl>
            <c:numFmt formatCode="0.0%" sourceLinked="0"/>
            <c:txPr>
              <a:bodyPr/>
              <a:lstStyle/>
              <a:p>
                <a:pPr>
                  <a:defRPr sz="1200" b="1">
                    <a:solidFill>
                      <a:schemeClr val="bg1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</c:dLbls>
          <c:cat>
            <c:strRef>
              <c:f>Лист1!$A$2:$A$6</c:f>
              <c:strCache>
                <c:ptCount val="5"/>
                <c:pt idx="0">
                  <c:v>Оценка качества планирования расходов бюджета</c:v>
                </c:pt>
                <c:pt idx="1">
                  <c:v>Оценка результатов исполнения бюджета</c:v>
                </c:pt>
                <c:pt idx="2">
                  <c:v>Оценка состояния учёта и отчётности</c:v>
                </c:pt>
                <c:pt idx="3">
                  <c:v>Оценка исполнения судебных актов</c:v>
                </c:pt>
                <c:pt idx="4">
                  <c:v>Оценка кадрового потенциала экономических и бухгалтерских служб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43.2</c:v>
                </c:pt>
                <c:pt idx="1">
                  <c:v>38.700000000000003</c:v>
                </c:pt>
                <c:pt idx="2">
                  <c:v>9.1</c:v>
                </c:pt>
                <c:pt idx="3">
                  <c:v>4.5</c:v>
                </c:pt>
                <c:pt idx="4">
                  <c:v>4.5</c:v>
                </c:pt>
              </c:numCache>
            </c:numRef>
          </c:val>
        </c:ser>
      </c:pie3DChart>
    </c:plotArea>
    <c:legend>
      <c:legendPos val="r"/>
      <c:layout>
        <c:manualLayout>
          <c:xMode val="edge"/>
          <c:yMode val="edge"/>
          <c:x val="0.6201745247732926"/>
          <c:y val="0.15029004611125488"/>
          <c:w val="0.35205341693786607"/>
          <c:h val="0.77224024504816191"/>
        </c:manualLayout>
      </c:layout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</c:chart>
  <c:spPr>
    <a:ln>
      <a:noFill/>
    </a:ln>
  </c:spPr>
  <c:externalData r:id="rId1"/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dLbls>
            <c:dLbl>
              <c:idx val="0"/>
              <c:layout>
                <c:manualLayout>
                  <c:x val="6.2336819537060521E-3"/>
                  <c:y val="-0.26824011959922556"/>
                </c:manualLayout>
              </c:layout>
              <c:showVal val="1"/>
            </c:dLbl>
            <c:dLbl>
              <c:idx val="1"/>
              <c:layout>
                <c:manualLayout>
                  <c:x val="8.1212554407791918E-3"/>
                  <c:y val="-0.16337711770458987"/>
                </c:manualLayout>
              </c:layout>
              <c:showVal val="1"/>
            </c:dLbl>
            <c:dLbl>
              <c:idx val="2"/>
              <c:layout>
                <c:manualLayout>
                  <c:x val="2.078190017586089E-3"/>
                  <c:y val="-6.7383299553254034E-2"/>
                </c:manualLayout>
              </c:layout>
              <c:showVal val="1"/>
            </c:dLbl>
            <c:dLbl>
              <c:idx val="3"/>
              <c:layout>
                <c:manualLayout>
                  <c:x val="8.3124337703644035E-3"/>
                  <c:y val="-0.30515954790789052"/>
                </c:manualLayout>
              </c:layout>
              <c:showVal val="1"/>
            </c:dLbl>
            <c:dLbl>
              <c:idx val="4"/>
              <c:layout>
                <c:manualLayout>
                  <c:x val="8.3174150184635517E-3"/>
                  <c:y val="-0.28070262294663867"/>
                </c:manualLayout>
              </c:layout>
              <c:spPr>
                <a:solidFill>
                  <a:schemeClr val="tx2">
                    <a:lumMod val="60000"/>
                    <a:lumOff val="40000"/>
                  </a:schemeClr>
                </a:solidFill>
                <a:ln>
                  <a:solidFill>
                    <a:schemeClr val="accent1"/>
                  </a:solidFill>
                </a:ln>
              </c:spPr>
              <c:txPr>
                <a:bodyPr/>
                <a:lstStyle/>
                <a:p>
                  <a:pPr>
                    <a:defRPr sz="1200" b="1">
                      <a:solidFill>
                        <a:srgbClr val="C000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spPr>
              <a:solidFill>
                <a:schemeClr val="tx2">
                  <a:lumMod val="60000"/>
                  <a:lumOff val="40000"/>
                </a:schemeClr>
              </a:solidFill>
            </c:spPr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hape val="cylinder"/>
        <c:axId val="76660096"/>
        <c:axId val="88601728"/>
        <c:axId val="0"/>
      </c:bar3DChart>
      <c:catAx>
        <c:axId val="76660096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601728"/>
        <c:crosses val="autoZero"/>
        <c:auto val="1"/>
        <c:lblAlgn val="ctr"/>
        <c:lblOffset val="100"/>
      </c:catAx>
      <c:valAx>
        <c:axId val="8860172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66009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  <c:userShapes r:id="rId2"/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dLbls>
            <c:dLbl>
              <c:idx val="0"/>
              <c:layout>
                <c:manualLayout>
                  <c:x val="8.312760070344356E-3"/>
                  <c:y val="-6.3419576050121523E-2"/>
                </c:manualLayout>
              </c:layout>
              <c:showVal val="1"/>
            </c:dLbl>
            <c:dLbl>
              <c:idx val="1"/>
              <c:layout>
                <c:manualLayout>
                  <c:x val="2.0781900175860877E-3"/>
                  <c:y val="-6.3419576050121523E-2"/>
                </c:manualLayout>
              </c:layout>
              <c:showVal val="1"/>
            </c:dLbl>
            <c:dLbl>
              <c:idx val="2"/>
              <c:layout>
                <c:manualLayout>
                  <c:x val="2.0781900175860877E-3"/>
                  <c:y val="-6.7383299553254034E-2"/>
                </c:manualLayout>
              </c:layout>
              <c:showVal val="1"/>
            </c:dLbl>
            <c:dLbl>
              <c:idx val="3"/>
              <c:layout>
                <c:manualLayout>
                  <c:x val="8.3127398503783957E-3"/>
                  <c:y val="-6.7010922719044422E-2"/>
                </c:manualLayout>
              </c:layout>
              <c:showVal val="1"/>
            </c:dLbl>
            <c:dLbl>
              <c:idx val="4"/>
              <c:layout>
                <c:manualLayout>
                  <c:x val="-1.4553225235042081E-2"/>
                  <c:y val="-0.39978426532065447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 sz="1200" b="1">
                      <a:solidFill>
                        <a:srgbClr val="C000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11</c:v>
                </c:pt>
              </c:numCache>
            </c:numRef>
          </c:val>
        </c:ser>
        <c:shape val="cylinder"/>
        <c:axId val="76661120"/>
        <c:axId val="76730368"/>
        <c:axId val="0"/>
      </c:bar3DChart>
      <c:catAx>
        <c:axId val="76661120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730368"/>
        <c:crosses val="autoZero"/>
        <c:auto val="1"/>
        <c:lblAlgn val="ctr"/>
        <c:lblOffset val="100"/>
      </c:catAx>
      <c:valAx>
        <c:axId val="76730368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66112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  <c:userShapes r:id="rId2"/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dLbls>
            <c:dLbl>
              <c:idx val="0"/>
              <c:layout>
                <c:manualLayout>
                  <c:x val="8.3127600703443525E-3"/>
                  <c:y val="-6.3419576050121523E-2"/>
                </c:manualLayout>
              </c:layout>
              <c:showVal val="1"/>
            </c:dLbl>
            <c:dLbl>
              <c:idx val="1"/>
              <c:layout>
                <c:manualLayout>
                  <c:x val="2.078190017586086E-3"/>
                  <c:y val="-6.3419576050121523E-2"/>
                </c:manualLayout>
              </c:layout>
              <c:showVal val="1"/>
            </c:dLbl>
            <c:dLbl>
              <c:idx val="2"/>
              <c:layout>
                <c:manualLayout>
                  <c:x val="2.078190017586086E-3"/>
                  <c:y val="-6.7383299553254034E-2"/>
                </c:manualLayout>
              </c:layout>
              <c:showVal val="1"/>
            </c:dLbl>
            <c:dLbl>
              <c:idx val="3"/>
              <c:layout>
                <c:manualLayout>
                  <c:x val="8.3127980261242119E-3"/>
                  <c:y val="-9.5902007951860546E-2"/>
                </c:manualLayout>
              </c:layout>
              <c:showVal val="1"/>
            </c:dLbl>
            <c:dLbl>
              <c:idx val="4"/>
              <c:layout>
                <c:manualLayout>
                  <c:x val="1.0181565370028681E-2"/>
                  <c:y val="-0.35792195184627368"/>
                </c:manualLayout>
              </c:layout>
              <c:showVal val="1"/>
            </c:dLbl>
            <c:spPr>
              <a:solidFill>
                <a:schemeClr val="tx2">
                  <a:lumMod val="60000"/>
                  <a:lumOff val="40000"/>
                </a:schemeClr>
              </a:solidFill>
              <a:ln>
                <a:solidFill>
                  <a:schemeClr val="accent1"/>
                </a:solidFill>
              </a:ln>
            </c:spPr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2</c:v>
                </c:pt>
                <c:pt idx="4">
                  <c:v>6</c:v>
                </c:pt>
              </c:numCache>
            </c:numRef>
          </c:val>
        </c:ser>
        <c:shape val="cylinder"/>
        <c:axId val="76814592"/>
        <c:axId val="76818304"/>
        <c:axId val="0"/>
      </c:bar3DChart>
      <c:catAx>
        <c:axId val="76814592"/>
        <c:scaling>
          <c:orientation val="minMax"/>
        </c:scaling>
        <c:axPos val="b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818304"/>
        <c:crosses val="autoZero"/>
        <c:auto val="1"/>
        <c:lblAlgn val="ctr"/>
        <c:lblOffset val="100"/>
      </c:catAx>
      <c:valAx>
        <c:axId val="76818304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81459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aseline="0">
                <a:latin typeface="+mn-lt"/>
              </a:defRPr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 baseline="0">
                <a:latin typeface="Times New Roman" pitchFamily="18" charset="0"/>
                <a:cs typeface="Times New Roman" pitchFamily="18" charset="0"/>
              </a:rPr>
              <a:t>MR) </a:t>
            </a: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в разрезе групп показателей з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а 2016 год, баллов</a:t>
            </a:r>
          </a:p>
        </c:rich>
      </c:tx>
      <c:layout>
        <c:manualLayout>
          <c:xMode val="edge"/>
          <c:yMode val="edge"/>
          <c:x val="0.14554769859165018"/>
          <c:y val="0"/>
        </c:manualLayout>
      </c:layout>
    </c:title>
    <c:plotArea>
      <c:layout>
        <c:manualLayout>
          <c:layoutTarget val="inner"/>
          <c:xMode val="edge"/>
          <c:yMode val="edge"/>
          <c:x val="7.9993874968396467E-2"/>
          <c:y val="0.15411194549322219"/>
          <c:w val="0.7034457574362426"/>
          <c:h val="0.34789521028181336"/>
        </c:manualLayout>
      </c:layout>
      <c:lineChart>
        <c:grouping val="standard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по группам показателей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circle"/>
            <c:size val="9"/>
            <c:spPr>
              <a:solidFill>
                <a:srgbClr val="FF0000"/>
              </a:solidFill>
              <a:ln w="12700">
                <a:solidFill>
                  <a:srgbClr val="FF000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/>
              <c:dLblPos val="b"/>
              <c:showVal val="1"/>
            </c:dLbl>
            <c:dLbl>
              <c:idx val="2"/>
              <c:layout>
                <c:manualLayout>
                  <c:x val="-4.2484540281505515E-2"/>
                  <c:y val="4.4146689473080578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Val val="1"/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rgbClr val="C00000"/>
                    </a:solidFill>
                    <a:latin typeface="Calibri" pitchFamily="34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Лист1!$A$2:$A$6</c:f>
              <c:strCache>
                <c:ptCount val="5"/>
                <c:pt idx="0">
                  <c:v>1. Оценка качества планирования расходов бюджета</c:v>
                </c:pt>
                <c:pt idx="1">
                  <c:v>2. Оценка результатов исполнения бюджета</c:v>
                </c:pt>
                <c:pt idx="2">
                  <c:v>3. Оценка состояния учёта и отчётности</c:v>
                </c:pt>
                <c:pt idx="3">
                  <c:v>4. Оценка исполнения судебных актов</c:v>
                </c:pt>
                <c:pt idx="4">
                  <c:v>5. Оценка кадрового потенциала экономических и бухгалтерских служб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74.2</c:v>
                </c:pt>
                <c:pt idx="1">
                  <c:v>76</c:v>
                </c:pt>
                <c:pt idx="2">
                  <c:v>77.400000000000006</c:v>
                </c:pt>
                <c:pt idx="3">
                  <c:v>100</c:v>
                </c:pt>
                <c:pt idx="4">
                  <c:v>96.2</c:v>
                </c:pt>
              </c:numCache>
            </c:numRef>
          </c:val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/>
              <c:showVal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5.0443923776721999E-3"/>
                  <c:y val="1.5340560845399401E-2"/>
                </c:manualLayout>
              </c:layout>
              <c:dLblPos val="r"/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 panose="020F0502020204030204" pitchFamily="34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Лист1!$A$2:$A$6</c:f>
              <c:strCache>
                <c:ptCount val="5"/>
                <c:pt idx="0">
                  <c:v>1. Оценка качества планирования расходов бюджета</c:v>
                </c:pt>
                <c:pt idx="1">
                  <c:v>2. Оценка результатов исполнения бюджета</c:v>
                </c:pt>
                <c:pt idx="2">
                  <c:v>3. Оценка состояния учёта и отчётности</c:v>
                </c:pt>
                <c:pt idx="3">
                  <c:v>4. Оценка исполнения судебных актов</c:v>
                </c:pt>
                <c:pt idx="4">
                  <c:v>5. Оценка кадрового потенциала экономических и бухгалтерских служб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83.6</c:v>
                </c:pt>
                <c:pt idx="1">
                  <c:v>83.6</c:v>
                </c:pt>
                <c:pt idx="2">
                  <c:v>83.6</c:v>
                </c:pt>
                <c:pt idx="3">
                  <c:v>83.6</c:v>
                </c:pt>
                <c:pt idx="4">
                  <c:v>83.6</c:v>
                </c:pt>
              </c:numCache>
            </c:numRef>
          </c:val>
        </c:ser>
        <c:marker val="1"/>
        <c:axId val="82607488"/>
        <c:axId val="82613376"/>
      </c:lineChart>
      <c:catAx>
        <c:axId val="82607488"/>
        <c:scaling>
          <c:orientation val="minMax"/>
        </c:scaling>
        <c:axPos val="b"/>
        <c:numFmt formatCode="General" sourceLinked="1"/>
        <c:tickLblPos val="low"/>
        <c:txPr>
          <a:bodyPr rot="-5400000" vert="horz"/>
          <a:lstStyle/>
          <a:p>
            <a:pPr>
              <a:defRPr sz="11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613376"/>
        <c:crosses val="autoZero"/>
        <c:lblAlgn val="ctr"/>
        <c:lblOffset val="100"/>
      </c:catAx>
      <c:valAx>
        <c:axId val="82613376"/>
        <c:scaling>
          <c:orientation val="minMax"/>
          <c:max val="105"/>
          <c:min val="50"/>
        </c:scaling>
        <c:axPos val="l"/>
        <c:majorGridlines/>
        <c:numFmt formatCode="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607488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  <a:scene3d>
          <a:camera prst="orthographicFront"/>
          <a:lightRig rig="threePt" dir="t"/>
        </a:scene3d>
        <a:sp3d prstMaterial="powder"/>
      </c:spPr>
    </c:plotArea>
    <c:legend>
      <c:legendPos val="r"/>
      <c:layout>
        <c:manualLayout>
          <c:xMode val="edge"/>
          <c:yMode val="edge"/>
          <c:x val="0.79890126875166656"/>
          <c:y val="2.1988375634956012E-3"/>
          <c:w val="0.20109879629975164"/>
          <c:h val="0.86938312925539207"/>
        </c:manualLayout>
      </c:layout>
      <c:txPr>
        <a:bodyPr/>
        <a:lstStyle/>
        <a:p>
          <a:pPr>
            <a:defRPr sz="1100" kern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aseline="0">
                <a:latin typeface="+mn-lt"/>
              </a:defRPr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 baseline="0">
                <a:latin typeface="Times New Roman" pitchFamily="18" charset="0"/>
                <a:cs typeface="Times New Roman" pitchFamily="18" charset="0"/>
              </a:rPr>
              <a:t>MR) </a:t>
            </a: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в разрезе ГАБС з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а 2016 год, баллов</a:t>
            </a:r>
          </a:p>
        </c:rich>
      </c:tx>
      <c:layout>
        <c:manualLayout>
          <c:xMode val="edge"/>
          <c:yMode val="edge"/>
          <c:x val="0.14554769859165026"/>
          <c:y val="0"/>
        </c:manualLayout>
      </c:layout>
    </c:title>
    <c:plotArea>
      <c:layout>
        <c:manualLayout>
          <c:layoutTarget val="inner"/>
          <c:xMode val="edge"/>
          <c:yMode val="edge"/>
          <c:x val="8.7311980219426599E-2"/>
          <c:y val="9.2702954913552377E-2"/>
          <c:w val="0.7034457574362426"/>
          <c:h val="0.34789521028181336"/>
        </c:manualLayout>
      </c:layout>
      <c:lineChart>
        <c:grouping val="standard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FF0000"/>
              </a:solidFill>
            </a:ln>
            <a:effectLst/>
          </c:spPr>
          <c:marker>
            <c:symbol val="circle"/>
            <c:size val="9"/>
            <c:spPr>
              <a:solidFill>
                <a:srgbClr val="FF0000"/>
              </a:solidFill>
              <a:ln w="12700">
                <a:solidFill>
                  <a:srgbClr val="FF000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4.5061878675870387E-2"/>
                  <c:y val="-4.9797073067261576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4059806323990062E-2"/>
                  <c:y val="-4.042778057993571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3.8743328207734046E-2"/>
                  <c:y val="4.353229750777883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0849511697112886E-2"/>
                  <c:y val="4.353229750777883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3.6637144718355413E-2"/>
                  <c:y val="4.0399909728037413E-2"/>
                </c:manualLayout>
              </c:layout>
              <c:dLblPos val="r"/>
              <c:showVal val="1"/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rgbClr val="C00000"/>
                    </a:solidFill>
                    <a:latin typeface="Calibri" pitchFamily="34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Лист1!$A$2:$A$12</c:f>
              <c:strCache>
                <c:ptCount val="11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"Служба обеспечения органов местного самоуправления"</c:v>
                </c:pt>
                <c:pt idx="4">
                  <c:v>МКУ "Централизованная бухгалтерия"</c:v>
                </c:pt>
                <c:pt idx="5">
                  <c:v>Дума города Югорска</c:v>
                </c:pt>
                <c:pt idx="6">
                  <c:v>Управление экономической политики </c:v>
                </c:pt>
                <c:pt idx="7">
                  <c:v>Управление образования </c:v>
                </c:pt>
                <c:pt idx="8">
                  <c:v>Управление культуры </c:v>
                </c:pt>
                <c:pt idx="9">
                  <c:v>Управление социальной политики </c:v>
                </c:pt>
                <c:pt idx="10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Лист1!$B$2:$B$12</c:f>
              <c:numCache>
                <c:formatCode>0.0</c:formatCode>
                <c:ptCount val="11"/>
                <c:pt idx="0">
                  <c:v>97.5</c:v>
                </c:pt>
                <c:pt idx="1">
                  <c:v>88.9</c:v>
                </c:pt>
                <c:pt idx="2">
                  <c:v>86.8</c:v>
                </c:pt>
                <c:pt idx="3">
                  <c:v>74.2</c:v>
                </c:pt>
                <c:pt idx="4">
                  <c:v>73.900000000000006</c:v>
                </c:pt>
                <c:pt idx="5">
                  <c:v>85.9</c:v>
                </c:pt>
                <c:pt idx="6">
                  <c:v>91.4</c:v>
                </c:pt>
                <c:pt idx="7">
                  <c:v>86</c:v>
                </c:pt>
                <c:pt idx="8">
                  <c:v>74.599999999999994</c:v>
                </c:pt>
                <c:pt idx="9">
                  <c:v>77.099999999999994</c:v>
                </c:pt>
                <c:pt idx="10">
                  <c:v>83.7</c:v>
                </c:pt>
              </c:numCache>
            </c:numRef>
          </c:val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delete val="1"/>
            </c:dLbl>
            <c:dLbl>
              <c:idx val="6"/>
              <c:layout>
                <c:manualLayout>
                  <c:x val="0.24842557395842771"/>
                  <c:y val="-4.2344454715973704E-3"/>
                </c:manualLayout>
              </c:layout>
              <c:dLblPos val="r"/>
              <c:showVal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 panose="020F0502020204030204" pitchFamily="34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Лист1!$A$2:$A$12</c:f>
              <c:strCache>
                <c:ptCount val="11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"Служба обеспечения органов местного самоуправления"</c:v>
                </c:pt>
                <c:pt idx="4">
                  <c:v>МКУ "Централизованная бухгалтерия"</c:v>
                </c:pt>
                <c:pt idx="5">
                  <c:v>Дума города Югорска</c:v>
                </c:pt>
                <c:pt idx="6">
                  <c:v>Управление экономической политики </c:v>
                </c:pt>
                <c:pt idx="7">
                  <c:v>Управление образования </c:v>
                </c:pt>
                <c:pt idx="8">
                  <c:v>Управление культуры </c:v>
                </c:pt>
                <c:pt idx="9">
                  <c:v>Управление социальной политики </c:v>
                </c:pt>
                <c:pt idx="10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Лист1!$C$2:$C$12</c:f>
              <c:numCache>
                <c:formatCode>0.0</c:formatCode>
                <c:ptCount val="11"/>
                <c:pt idx="0">
                  <c:v>83.6</c:v>
                </c:pt>
                <c:pt idx="1">
                  <c:v>83.6</c:v>
                </c:pt>
                <c:pt idx="2">
                  <c:v>83.6</c:v>
                </c:pt>
                <c:pt idx="3">
                  <c:v>83.6</c:v>
                </c:pt>
                <c:pt idx="4">
                  <c:v>83.6</c:v>
                </c:pt>
                <c:pt idx="5">
                  <c:v>83.6</c:v>
                </c:pt>
                <c:pt idx="6">
                  <c:v>83.6</c:v>
                </c:pt>
                <c:pt idx="7">
                  <c:v>83.6</c:v>
                </c:pt>
                <c:pt idx="8">
                  <c:v>83.6</c:v>
                </c:pt>
                <c:pt idx="9">
                  <c:v>83.6</c:v>
                </c:pt>
                <c:pt idx="10">
                  <c:v>83.6</c:v>
                </c:pt>
              </c:numCache>
            </c:numRef>
          </c:val>
        </c:ser>
        <c:marker val="1"/>
        <c:axId val="82942208"/>
        <c:axId val="82968576"/>
      </c:lineChart>
      <c:catAx>
        <c:axId val="82942208"/>
        <c:scaling>
          <c:orientation val="minMax"/>
        </c:scaling>
        <c:axPos val="b"/>
        <c:numFmt formatCode="General" sourceLinked="1"/>
        <c:tickLblPos val="low"/>
        <c:txPr>
          <a:bodyPr rot="-5400000" vert="horz"/>
          <a:lstStyle/>
          <a:p>
            <a:pPr>
              <a:defRPr sz="11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968576"/>
        <c:crosses val="autoZero"/>
        <c:lblAlgn val="ctr"/>
        <c:lblOffset val="100"/>
      </c:catAx>
      <c:valAx>
        <c:axId val="82968576"/>
        <c:scaling>
          <c:orientation val="minMax"/>
          <c:max val="105"/>
          <c:min val="50"/>
        </c:scaling>
        <c:axPos val="l"/>
        <c:majorGridlines/>
        <c:numFmt formatCode="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2942208"/>
        <c:crosses val="autoZero"/>
        <c:crossBetween val="between"/>
        <c:majorUnit val="10"/>
      </c:valAx>
      <c:spPr>
        <a:solidFill>
          <a:srgbClr val="F79646">
            <a:lumMod val="20000"/>
            <a:lumOff val="80000"/>
          </a:srgbClr>
        </a:solidFill>
        <a:scene3d>
          <a:camera prst="orthographicFront"/>
          <a:lightRig rig="threePt" dir="t"/>
        </a:scene3d>
        <a:sp3d prstMaterial="powder"/>
      </c:spPr>
    </c:plotArea>
    <c:legend>
      <c:legendPos val="r"/>
      <c:layout>
        <c:manualLayout>
          <c:xMode val="edge"/>
          <c:yMode val="edge"/>
          <c:x val="0.79890117004052663"/>
          <c:y val="7.8588752335402041E-3"/>
          <c:w val="0.20109879629975164"/>
          <c:h val="0.27501374091331077"/>
        </c:manualLayout>
      </c:layout>
      <c:txPr>
        <a:bodyPr/>
        <a:lstStyle/>
        <a:p>
          <a:pPr>
            <a:defRPr sz="1100" kern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aseline="0">
                <a:latin typeface="+mn-lt"/>
              </a:defRPr>
            </a:pP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 b="1" i="0" u="none" strike="noStrike" baseline="0">
                <a:latin typeface="Times New Roman" pitchFamily="18" charset="0"/>
                <a:cs typeface="Times New Roman" pitchFamily="18" charset="0"/>
              </a:rPr>
              <a:t>MR) </a:t>
            </a:r>
            <a:r>
              <a:rPr lang="ru-RU" sz="1200" b="1" i="0" u="none" strike="noStrike" baseline="0">
                <a:latin typeface="Times New Roman" pitchFamily="18" charset="0"/>
                <a:cs typeface="Times New Roman" pitchFamily="18" charset="0"/>
              </a:rPr>
              <a:t>в разрезе ГАБС, не имеющих подведомственную сеть учреждений, з</a:t>
            </a:r>
            <a:r>
              <a:rPr lang="ru-RU" sz="1200" baseline="0">
                <a:latin typeface="Times New Roman" pitchFamily="18" charset="0"/>
                <a:cs typeface="Times New Roman" pitchFamily="18" charset="0"/>
              </a:rPr>
              <a:t>а 2016 год, баллов</a:t>
            </a:r>
          </a:p>
        </c:rich>
      </c:tx>
      <c:layout>
        <c:manualLayout>
          <c:xMode val="edge"/>
          <c:yMode val="edge"/>
          <c:x val="0.14554769859165032"/>
          <c:y val="0"/>
        </c:manualLayout>
      </c:layout>
    </c:title>
    <c:plotArea>
      <c:layout>
        <c:manualLayout>
          <c:layoutTarget val="inner"/>
          <c:xMode val="edge"/>
          <c:yMode val="edge"/>
          <c:x val="6.9395865178353514E-2"/>
          <c:y val="0.12898545972985997"/>
          <c:w val="0.7034457574362426"/>
          <c:h val="0.34789521028181336"/>
        </c:manualLayout>
      </c:layout>
      <c:lineChart>
        <c:grouping val="standard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spPr>
            <a:ln w="38100">
              <a:solidFill>
                <a:srgbClr val="00B050"/>
              </a:solidFill>
            </a:ln>
            <a:effectLst/>
          </c:spPr>
          <c:marker>
            <c:symbol val="circle"/>
            <c:size val="9"/>
            <c:spPr>
              <a:solidFill>
                <a:srgbClr val="FFFF00"/>
              </a:solidFill>
              <a:ln w="12700">
                <a:solidFill>
                  <a:srgbClr val="FF0000"/>
                </a:solidFill>
              </a:ln>
              <a:effectLst/>
              <a:scene3d>
                <a:camera prst="orthographicFront"/>
                <a:lightRig rig="threePt" dir="t"/>
              </a:scene3d>
              <a:sp3d>
                <a:bevelT/>
              </a:sp3d>
            </c:spPr>
          </c:marker>
          <c:dLbls>
            <c:dLbl>
              <c:idx val="0"/>
              <c:layout>
                <c:manualLayout>
                  <c:x val="-4.5061878675870373E-2"/>
                  <c:y val="-4.9797073067261603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4059806323990062E-2"/>
                  <c:y val="-4.042778057993571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3.8743328207734046E-2"/>
                  <c:y val="4.3532297507778844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0849511697112886E-2"/>
                  <c:y val="4.3532297507778844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3.6637144718355434E-2"/>
                  <c:y val="4.0399909728037413E-2"/>
                </c:manualLayout>
              </c:layout>
              <c:dLblPos val="r"/>
              <c:showVal val="1"/>
            </c:dLbl>
            <c:numFmt formatCode="#,##0.0" sourceLinked="0"/>
            <c:spPr>
              <a:effectLst/>
            </c:spPr>
            <c:txPr>
              <a:bodyPr/>
              <a:lstStyle/>
              <a:p>
                <a:pPr>
                  <a:defRPr b="1" i="0" baseline="0">
                    <a:solidFill>
                      <a:srgbClr val="C00000"/>
                    </a:solidFill>
                    <a:latin typeface="Calibri" pitchFamily="34" charset="0"/>
                  </a:defRPr>
                </a:pPr>
                <a:endParaRPr lang="ru-RU"/>
              </a:p>
            </c:txPr>
            <c:dLblPos val="t"/>
            <c:showVal val="1"/>
          </c:dLbls>
          <c:cat>
            <c:strRef>
              <c:f>Лист1!$A$2:$A$7</c:f>
              <c:strCache>
                <c:ptCount val="6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"Служба обеспечения органов местного самоуправления"</c:v>
                </c:pt>
                <c:pt idx="4">
                  <c:v>МКУ "Централизованная бухгалтерия"</c:v>
                </c:pt>
                <c:pt idx="5">
                  <c:v>Дума города Югорска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97.5</c:v>
                </c:pt>
                <c:pt idx="1">
                  <c:v>88.9</c:v>
                </c:pt>
                <c:pt idx="2">
                  <c:v>86.8</c:v>
                </c:pt>
                <c:pt idx="3">
                  <c:v>74.2</c:v>
                </c:pt>
                <c:pt idx="4">
                  <c:v>73.900000000000006</c:v>
                </c:pt>
                <c:pt idx="5">
                  <c:v>85.9</c:v>
                </c:pt>
              </c:numCache>
            </c:numRef>
          </c:val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pPr>
              <a:ln>
                <a:solidFill>
                  <a:schemeClr val="accent6">
                    <a:lumMod val="75000"/>
                  </a:schemeClr>
                </a:solidFill>
              </a:ln>
            </c:spPr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delete val="1"/>
            </c:dLbl>
            <c:dLbl>
              <c:idx val="5"/>
              <c:layout/>
              <c:spPr/>
              <c:txPr>
                <a:bodyPr/>
                <a:lstStyle/>
                <a:p>
                  <a:pPr>
                    <a:defRPr b="1">
                      <a:solidFill>
                        <a:srgbClr val="7030A0"/>
                      </a:solidFill>
                      <a:latin typeface="Calibri" panose="020F0502020204030204" pitchFamily="34" charset="0"/>
                    </a:defRPr>
                  </a:pPr>
                  <a:endParaRPr lang="ru-RU"/>
                </a:p>
              </c:txPr>
              <c:showVal val="1"/>
            </c:dLbl>
            <c:dLbl>
              <c:idx val="6"/>
              <c:layout>
                <c:manualLayout>
                  <c:x val="-0.38415742046586787"/>
                  <c:y val="2.7870111964365014E-2"/>
                </c:manualLayout>
              </c:layout>
              <c:dLblPos val="r"/>
              <c:showVal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Calibri" panose="020F0502020204030204" pitchFamily="34" charset="0"/>
                  </a:defRPr>
                </a:pPr>
                <a:endParaRPr lang="ru-RU"/>
              </a:p>
            </c:txPr>
            <c:dLblPos val="t"/>
            <c:showVal val="1"/>
          </c:dLbls>
          <c:trendline>
            <c:spPr>
              <a:ln>
                <a:solidFill>
                  <a:srgbClr val="00B0F0"/>
                </a:solidFill>
              </a:ln>
            </c:spPr>
            <c:trendlineType val="linear"/>
          </c:trendline>
          <c:trendline>
            <c:spPr>
              <a:ln>
                <a:gradFill>
                  <a:gsLst>
                    <a:gs pos="0">
                      <a:srgbClr val="FFFF00"/>
                    </a:gs>
                    <a:gs pos="50000">
                      <a:srgbClr val="4F81BD">
                        <a:tint val="44500"/>
                        <a:satMod val="160000"/>
                      </a:srgbClr>
                    </a:gs>
                    <a:gs pos="100000">
                      <a:srgbClr val="4F81BD">
                        <a:tint val="23500"/>
                        <a:satMod val="160000"/>
                      </a:srgbClr>
                    </a:gs>
                  </a:gsLst>
                  <a:lin ang="5400000" scaled="0"/>
                </a:gradFill>
              </a:ln>
            </c:spPr>
            <c:trendlineType val="linear"/>
          </c:trendline>
          <c:cat>
            <c:strRef>
              <c:f>Лист1!$A$2:$A$7</c:f>
              <c:strCache>
                <c:ptCount val="6"/>
                <c:pt idx="0">
                  <c:v>Департамент финансов </c:v>
                </c:pt>
                <c:pt idx="1">
                  <c:v>Администрация города Югорска</c:v>
                </c:pt>
                <c:pt idx="2">
                  <c:v>Департамент жилищно-коммунального и строительного комплекса </c:v>
                </c:pt>
                <c:pt idx="3">
                  <c:v>МКУ "Служба обеспечения органов местного самоуправления"</c:v>
                </c:pt>
                <c:pt idx="4">
                  <c:v>МКУ "Централизованная бухгалтерия"</c:v>
                </c:pt>
                <c:pt idx="5">
                  <c:v>Дума города Югорска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6"/>
                <c:pt idx="0">
                  <c:v>84.5</c:v>
                </c:pt>
                <c:pt idx="1">
                  <c:v>84.5</c:v>
                </c:pt>
                <c:pt idx="2">
                  <c:v>84.5</c:v>
                </c:pt>
                <c:pt idx="3">
                  <c:v>84.5</c:v>
                </c:pt>
                <c:pt idx="4">
                  <c:v>84.5</c:v>
                </c:pt>
                <c:pt idx="5">
                  <c:v>84.5</c:v>
                </c:pt>
              </c:numCache>
            </c:numRef>
          </c:val>
        </c:ser>
        <c:marker val="1"/>
        <c:axId val="83524608"/>
        <c:axId val="83550976"/>
      </c:lineChart>
      <c:catAx>
        <c:axId val="83524608"/>
        <c:scaling>
          <c:orientation val="minMax"/>
        </c:scaling>
        <c:axPos val="b"/>
        <c:numFmt formatCode="General" sourceLinked="1"/>
        <c:tickLblPos val="low"/>
        <c:txPr>
          <a:bodyPr rot="-5400000" vert="horz"/>
          <a:lstStyle/>
          <a:p>
            <a:pPr>
              <a:defRPr sz="1100" b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550976"/>
        <c:crosses val="autoZero"/>
        <c:lblAlgn val="ctr"/>
        <c:lblOffset val="100"/>
      </c:catAx>
      <c:valAx>
        <c:axId val="83550976"/>
        <c:scaling>
          <c:orientation val="minMax"/>
          <c:max val="105"/>
          <c:min val="50"/>
        </c:scaling>
        <c:axPos val="l"/>
        <c:majorGridlines/>
        <c:numFmt formatCode="0" sourceLinked="0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3524608"/>
        <c:crosses val="autoZero"/>
        <c:crossBetween val="between"/>
        <c:majorUnit val="10"/>
      </c:valAx>
      <c:spPr>
        <a:solidFill>
          <a:schemeClr val="bg1"/>
        </a:solidFill>
        <a:scene3d>
          <a:camera prst="orthographicFront"/>
          <a:lightRig rig="threePt" dir="t"/>
        </a:scene3d>
        <a:sp3d prstMaterial="powder"/>
      </c:spPr>
    </c:plotArea>
    <c:legend>
      <c:legendPos val="r"/>
      <c:legendEntry>
        <c:idx val="2"/>
        <c:delete val="1"/>
      </c:legendEntry>
      <c:legendEntry>
        <c:idx val="3"/>
        <c:delete val="1"/>
      </c:legendEntry>
      <c:layout>
        <c:manualLayout>
          <c:xMode val="edge"/>
          <c:yMode val="edge"/>
          <c:x val="0.78462720453173374"/>
          <c:y val="0.16038886653452752"/>
          <c:w val="0.20721618861671726"/>
          <c:h val="0.26526698558888967"/>
        </c:manualLayout>
      </c:layout>
      <c:txPr>
        <a:bodyPr/>
        <a:lstStyle/>
        <a:p>
          <a:pPr>
            <a:defRPr sz="1100" kern="10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 год</c:v>
                </c:pt>
              </c:strCache>
            </c:strRef>
          </c:tx>
          <c:dLbls>
            <c:dLbl>
              <c:idx val="0"/>
              <c:layout>
                <c:manualLayout>
                  <c:x val="-8.8813945249750746E-3"/>
                  <c:y val="-1.2395382960493327E-2"/>
                </c:manualLayout>
              </c:layout>
              <c:showVal val="1"/>
            </c:dLbl>
            <c:dLbl>
              <c:idx val="1"/>
              <c:layout>
                <c:manualLayout>
                  <c:x val="-1.1574074074074073E-2"/>
                  <c:y val="-1.5873015873015879E-2"/>
                </c:manualLayout>
              </c:layout>
              <c:showVal val="1"/>
            </c:dLbl>
            <c:dLbl>
              <c:idx val="2"/>
              <c:layout>
                <c:manualLayout>
                  <c:x val="-2.3147490545753456E-3"/>
                  <c:y val="-2.0125523977326931E-2"/>
                </c:manualLayout>
              </c:layout>
              <c:showVal val="1"/>
            </c:dLbl>
            <c:dLbl>
              <c:idx val="3"/>
              <c:layout>
                <c:manualLayout>
                  <c:x val="-7.4364039051294283E-3"/>
                  <c:y val="-5.6124546020517325E-3"/>
                </c:manualLayout>
              </c:layout>
              <c:showVal val="1"/>
            </c:dLbl>
            <c:dLbl>
              <c:idx val="4"/>
              <c:layout>
                <c:manualLayout>
                  <c:x val="-9.2592592592593351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1.1226816456702215E-2"/>
                  <c:y val="-3.210185525903215E-3"/>
                </c:manualLayout>
              </c:layout>
              <c:showVal val="1"/>
            </c:dLbl>
            <c:dLbl>
              <c:idx val="6"/>
              <c:layout>
                <c:manualLayout>
                  <c:x val="-1.3888888888888879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Средняя итоговая балльная оценка по группе ГАБС</c:v>
                </c:pt>
                <c:pt idx="1">
                  <c:v>Департамент финансов </c:v>
                </c:pt>
                <c:pt idx="2">
                  <c:v>Администрация города Югорска</c:v>
                </c:pt>
                <c:pt idx="3">
                  <c:v>ДЖКиСК</c:v>
                </c:pt>
                <c:pt idx="4">
                  <c:v>МКУ "Служба обеспечения органов местного самоуправления"</c:v>
                </c:pt>
                <c:pt idx="5">
                  <c:v>МКУ "Централизованная бухгалтерия"</c:v>
                </c:pt>
                <c:pt idx="6">
                  <c:v>Дума города Югорска</c:v>
                </c:pt>
              </c:strCache>
            </c:strRef>
          </c:cat>
          <c:val>
            <c:numRef>
              <c:f>Лист1!$B$2:$B$8</c:f>
              <c:numCache>
                <c:formatCode>0.0</c:formatCode>
                <c:ptCount val="7"/>
                <c:pt idx="0">
                  <c:v>85.1</c:v>
                </c:pt>
                <c:pt idx="1">
                  <c:v>96.2</c:v>
                </c:pt>
                <c:pt idx="2">
                  <c:v>90.9</c:v>
                </c:pt>
                <c:pt idx="3">
                  <c:v>83.8</c:v>
                </c:pt>
                <c:pt idx="4">
                  <c:v>80.3</c:v>
                </c:pt>
                <c:pt idx="5">
                  <c:v>79.900000000000006</c:v>
                </c:pt>
                <c:pt idx="6">
                  <c:v>79.7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 год</c:v>
                </c:pt>
              </c:strCache>
            </c:strRef>
          </c:tx>
          <c:dLbls>
            <c:dLbl>
              <c:idx val="0"/>
              <c:layout>
                <c:manualLayout>
                  <c:x val="1.9501998801318534E-3"/>
                  <c:y val="-9.2964457199200979E-3"/>
                </c:manualLayout>
              </c:layout>
              <c:showVal val="1"/>
            </c:dLbl>
            <c:dLbl>
              <c:idx val="1"/>
              <c:layout>
                <c:manualLayout>
                  <c:x val="2.3148148148148147E-3"/>
                  <c:y val="7.9365079365079413E-3"/>
                </c:manualLayout>
              </c:layout>
              <c:showVal val="1"/>
            </c:dLbl>
            <c:dLbl>
              <c:idx val="2"/>
              <c:layout>
                <c:manualLayout>
                  <c:x val="2.3148148148148147E-3"/>
                  <c:y val="-7.9365079365079413E-3"/>
                </c:manualLayout>
              </c:layout>
              <c:showVal val="1"/>
            </c:dLbl>
            <c:dLbl>
              <c:idx val="3"/>
              <c:layout>
                <c:manualLayout>
                  <c:x val="4.1215247860423429E-3"/>
                  <c:y val="-3.0235408697740079E-3"/>
                </c:manualLayout>
              </c:layout>
              <c:showVal val="1"/>
            </c:dLbl>
            <c:dLbl>
              <c:idx val="4"/>
              <c:layout>
                <c:manualLayout>
                  <c:x val="7.887184034707265E-3"/>
                  <c:y val="-2.0917112483101578E-2"/>
                </c:manualLayout>
              </c:layout>
              <c:showVal val="1"/>
            </c:dLbl>
            <c:dLbl>
              <c:idx val="5"/>
              <c:layout>
                <c:manualLayout>
                  <c:x val="7.869987801518907E-3"/>
                  <c:y val="-6.9836346365633375E-3"/>
                </c:manualLayout>
              </c:layout>
              <c:showVal val="1"/>
            </c:dLbl>
            <c:dLbl>
              <c:idx val="6"/>
              <c:layout>
                <c:manualLayout>
                  <c:x val="3.9349939007594552E-3"/>
                  <c:y val="1.3764520713595951E-3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Лист1!$A$2:$A$8</c:f>
              <c:strCache>
                <c:ptCount val="7"/>
                <c:pt idx="0">
                  <c:v>Средняя итоговая балльная оценка по группе ГАБС</c:v>
                </c:pt>
                <c:pt idx="1">
                  <c:v>Департамент финансов </c:v>
                </c:pt>
                <c:pt idx="2">
                  <c:v>Администрация города Югорска</c:v>
                </c:pt>
                <c:pt idx="3">
                  <c:v>ДЖКиСК</c:v>
                </c:pt>
                <c:pt idx="4">
                  <c:v>МКУ "Служба обеспечения органов местного самоуправления"</c:v>
                </c:pt>
                <c:pt idx="5">
                  <c:v>МКУ "Централизованная бухгалтерия"</c:v>
                </c:pt>
                <c:pt idx="6">
                  <c:v>Дума города Югорска</c:v>
                </c:pt>
              </c:strCache>
            </c:strRef>
          </c:cat>
          <c:val>
            <c:numRef>
              <c:f>Лист1!$C$2:$C$8</c:f>
              <c:numCache>
                <c:formatCode>0.0</c:formatCode>
                <c:ptCount val="7"/>
                <c:pt idx="0">
                  <c:v>84.5</c:v>
                </c:pt>
                <c:pt idx="1">
                  <c:v>97.5</c:v>
                </c:pt>
                <c:pt idx="2">
                  <c:v>88.9</c:v>
                </c:pt>
                <c:pt idx="3">
                  <c:v>86.8</c:v>
                </c:pt>
                <c:pt idx="4">
                  <c:v>74.2</c:v>
                </c:pt>
                <c:pt idx="5">
                  <c:v>73.900000000000006</c:v>
                </c:pt>
                <c:pt idx="6">
                  <c:v>85.9</c:v>
                </c:pt>
              </c:numCache>
            </c:numRef>
          </c:val>
        </c:ser>
        <c:axId val="84064896"/>
        <c:axId val="84087168"/>
      </c:barChart>
      <c:catAx>
        <c:axId val="84064896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087168"/>
        <c:crosses val="autoZero"/>
        <c:auto val="1"/>
        <c:lblAlgn val="ctr"/>
        <c:lblOffset val="100"/>
      </c:catAx>
      <c:valAx>
        <c:axId val="84087168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06489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>
              <a:defRPr/>
            </a:pPr>
            <a:r>
              <a:rPr lang="ru-RU" sz="1200">
                <a:latin typeface="Times New Roman" pitchFamily="18" charset="0"/>
                <a:cs typeface="Times New Roman" pitchFamily="18" charset="0"/>
              </a:rPr>
              <a:t>Средние итоговые балльные оценки качества финансового менеджмента (</a:t>
            </a:r>
            <a:r>
              <a:rPr lang="en-US" sz="1200">
                <a:latin typeface="Times New Roman" pitchFamily="18" charset="0"/>
                <a:cs typeface="Times New Roman" pitchFamily="18" charset="0"/>
              </a:rPr>
              <a:t>MR) </a:t>
            </a:r>
            <a:r>
              <a:rPr lang="ru-RU" sz="1200">
                <a:latin typeface="Times New Roman" pitchFamily="18" charset="0"/>
                <a:cs typeface="Times New Roman" pitchFamily="18" charset="0"/>
              </a:rPr>
              <a:t>в разрезе ГАБС, имеющие в подведомственности муниципальные учреждения, за 2016 год (баллов)</a:t>
            </a:r>
          </a:p>
        </c:rich>
      </c:tx>
      <c:layout>
        <c:manualLayout>
          <c:xMode val="edge"/>
          <c:yMode val="edge"/>
          <c:x val="0.14554769859165032"/>
          <c:y val="0"/>
        </c:manualLayout>
      </c:layout>
    </c:title>
    <c:plotArea>
      <c:layout>
        <c:manualLayout>
          <c:layoutTarget val="inner"/>
          <c:xMode val="edge"/>
          <c:yMode val="edge"/>
          <c:x val="7.1435016891240974E-2"/>
          <c:y val="0.1693624039383417"/>
          <c:w val="0.7034457574362426"/>
          <c:h val="0.34789521028181336"/>
        </c:manualLayout>
      </c:layout>
      <c:lineChart>
        <c:grouping val="standard"/>
        <c:ser>
          <c:idx val="3"/>
          <c:order val="0"/>
          <c:tx>
            <c:strRef>
              <c:f>Лист1!$B$1</c:f>
              <c:strCache>
                <c:ptCount val="1"/>
                <c:pt idx="0">
                  <c:v>Средние оценки ГАБС</c:v>
                </c:pt>
              </c:strCache>
            </c:strRef>
          </c:tx>
          <c:dLbls>
            <c:dLbl>
              <c:idx val="0"/>
              <c:layout>
                <c:manualLayout>
                  <c:x val="-4.5061878675870373E-2"/>
                  <c:y val="-4.9797073067261603E-2"/>
                </c:manualLayout>
              </c:layout>
              <c:dLblPos val="r"/>
              <c:showVal val="1"/>
            </c:dLbl>
            <c:dLbl>
              <c:idx val="2"/>
              <c:layout>
                <c:manualLayout>
                  <c:x val="-3.4059806323990062E-2"/>
                  <c:y val="-4.0427780579935714E-2"/>
                </c:manualLayout>
              </c:layout>
              <c:dLblPos val="r"/>
              <c:showVal val="1"/>
            </c:dLbl>
            <c:dLbl>
              <c:idx val="3"/>
              <c:layout>
                <c:manualLayout>
                  <c:x val="-4.0849511697112886E-2"/>
                  <c:y val="4.0399909728037413E-2"/>
                </c:manualLayout>
              </c:layout>
              <c:dLblPos val="r"/>
              <c:showVal val="1"/>
            </c:dLbl>
            <c:dLbl>
              <c:idx val="4"/>
              <c:layout>
                <c:manualLayout>
                  <c:x val="-3.8743328207734046E-2"/>
                  <c:y val="4.3532297507778844E-2"/>
                </c:manualLayout>
              </c:layout>
              <c:dLblPos val="r"/>
              <c:showVal val="1"/>
            </c:dLbl>
            <c:dLbl>
              <c:idx val="5"/>
              <c:layout>
                <c:manualLayout>
                  <c:x val="-4.0849511697112886E-2"/>
                  <c:y val="4.3532297507778844E-2"/>
                </c:manualLayout>
              </c:layout>
              <c:dLblPos val="r"/>
              <c:showVal val="1"/>
            </c:dLbl>
            <c:dLbl>
              <c:idx val="6"/>
              <c:layout>
                <c:manualLayout>
                  <c:x val="-1.4782687396459267E-2"/>
                  <c:y val="-3.4107919608640472E-2"/>
                </c:manualLayout>
              </c:layout>
              <c:dLblPos val="r"/>
              <c:showVal val="1"/>
            </c:dLbl>
            <c:dLbl>
              <c:idx val="8"/>
              <c:layout>
                <c:manualLayout>
                  <c:x val="-4.0849511697112796E-2"/>
                  <c:y val="4.0399909728037413E-2"/>
                </c:manualLayout>
              </c:layout>
              <c:dLblPos val="r"/>
              <c:showVal val="1"/>
            </c:dLbl>
            <c:dLbl>
              <c:idx val="9"/>
              <c:layout>
                <c:manualLayout>
                  <c:x val="-3.8743494048953678E-2"/>
                  <c:y val="3.726752194829587E-2"/>
                </c:manualLayout>
              </c:layout>
              <c:dLblPos val="r"/>
              <c:showVal val="1"/>
            </c:dLbl>
            <c:dLbl>
              <c:idx val="10"/>
              <c:layout>
                <c:manualLayout>
                  <c:x val="-3.6637144718355434E-2"/>
                  <c:y val="4.0399909728037413E-2"/>
                </c:manualLayout>
              </c:layout>
              <c:dLblPos val="r"/>
              <c:showVal val="1"/>
            </c:dLbl>
            <c:numFmt formatCode="#,##0.0" sourceLinked="0"/>
            <c:dLblPos val="t"/>
            <c:showVal val="1"/>
          </c:dLbls>
          <c:cat>
            <c:strRef>
              <c:f>Лист1!$A$2:$A$6</c:f>
              <c:strCache>
                <c:ptCount val="5"/>
                <c:pt idx="0">
                  <c:v>Управление экономической политики 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Лист1!$B$2:$B$6</c:f>
              <c:numCache>
                <c:formatCode>0.0</c:formatCode>
                <c:ptCount val="5"/>
                <c:pt idx="0">
                  <c:v>91.4</c:v>
                </c:pt>
                <c:pt idx="1">
                  <c:v>86</c:v>
                </c:pt>
                <c:pt idx="2">
                  <c:v>74.599999999999994</c:v>
                </c:pt>
                <c:pt idx="3">
                  <c:v>77.099999999999994</c:v>
                </c:pt>
                <c:pt idx="4">
                  <c:v>83.7</c:v>
                </c:pt>
              </c:numCache>
            </c:numRef>
          </c:val>
        </c:ser>
        <c:ser>
          <c:idx val="0"/>
          <c:order val="1"/>
          <c:tx>
            <c:strRef>
              <c:f>Лист1!$C$1</c:f>
              <c:strCache>
                <c:ptCount val="1"/>
                <c:pt idx="0">
                  <c:v>Средняя итоговая оценка</c:v>
                </c:pt>
              </c:strCache>
            </c:strRef>
          </c:tx>
          <c:marker>
            <c:symbol val="none"/>
          </c:marker>
          <c:dLbls>
            <c:dLbl>
              <c:idx val="0"/>
              <c:delete val="1"/>
            </c:dLbl>
            <c:dLbl>
              <c:idx val="1"/>
              <c:delete val="1"/>
            </c:dLbl>
            <c:dLbl>
              <c:idx val="2"/>
              <c:delete val="1"/>
            </c:dLbl>
            <c:dLbl>
              <c:idx val="3"/>
              <c:delete val="1"/>
            </c:dLbl>
            <c:dLbl>
              <c:idx val="4"/>
              <c:layout/>
              <c:showVal val="1"/>
            </c:dLbl>
            <c:dLbl>
              <c:idx val="5"/>
              <c:delete val="1"/>
            </c:dLbl>
            <c:dLbl>
              <c:idx val="6"/>
              <c:layout>
                <c:manualLayout>
                  <c:x val="-0.38415742046586787"/>
                  <c:y val="2.7870111964365014E-2"/>
                </c:manualLayout>
              </c:layout>
              <c:dLblPos val="r"/>
              <c:showVal val="1"/>
            </c:dLbl>
            <c:dLbl>
              <c:idx val="7"/>
              <c:delete val="1"/>
            </c:dLbl>
            <c:dLbl>
              <c:idx val="8"/>
              <c:delete val="1"/>
            </c:dLbl>
            <c:dLbl>
              <c:idx val="9"/>
              <c:delete val="1"/>
            </c:dLbl>
            <c:dLbl>
              <c:idx val="10"/>
              <c:delete val="1"/>
            </c:dLbl>
            <c:dLblPos val="t"/>
            <c:showVal val="1"/>
          </c:dLbls>
          <c:cat>
            <c:strRef>
              <c:f>Лист1!$A$2:$A$6</c:f>
              <c:strCache>
                <c:ptCount val="5"/>
                <c:pt idx="0">
                  <c:v>Управление экономической политики </c:v>
                </c:pt>
                <c:pt idx="1">
                  <c:v>Управление образования </c:v>
                </c:pt>
                <c:pt idx="2">
                  <c:v>Управление культуры </c:v>
                </c:pt>
                <c:pt idx="3">
                  <c:v>Управление социальной политики </c:v>
                </c:pt>
                <c:pt idx="4">
                  <c:v>Департамент муниципальной собственности и градостроительства </c:v>
                </c:pt>
              </c:strCache>
            </c:strRef>
          </c:cat>
          <c:val>
            <c:numRef>
              <c:f>Лист1!$C$2:$C$6</c:f>
              <c:numCache>
                <c:formatCode>0.0</c:formatCode>
                <c:ptCount val="5"/>
                <c:pt idx="0">
                  <c:v>82.5</c:v>
                </c:pt>
                <c:pt idx="1">
                  <c:v>82.5</c:v>
                </c:pt>
                <c:pt idx="2">
                  <c:v>82.5</c:v>
                </c:pt>
                <c:pt idx="3">
                  <c:v>82.5</c:v>
                </c:pt>
                <c:pt idx="4">
                  <c:v>82.5</c:v>
                </c:pt>
              </c:numCache>
            </c:numRef>
          </c:val>
        </c:ser>
        <c:marker val="1"/>
        <c:axId val="84145280"/>
        <c:axId val="84146816"/>
      </c:lineChart>
      <c:catAx>
        <c:axId val="84145280"/>
        <c:scaling>
          <c:orientation val="minMax"/>
        </c:scaling>
        <c:axPos val="b"/>
        <c:numFmt formatCode="General" sourceLinked="1"/>
        <c:tickLblPos val="low"/>
        <c:txPr>
          <a:bodyPr rot="-5400000" vert="horz"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146816"/>
        <c:crosses val="autoZero"/>
        <c:lblAlgn val="ctr"/>
        <c:lblOffset val="100"/>
      </c:catAx>
      <c:valAx>
        <c:axId val="84146816"/>
        <c:scaling>
          <c:orientation val="minMax"/>
          <c:max val="105"/>
          <c:min val="50"/>
        </c:scaling>
        <c:axPos val="l"/>
        <c:majorGridlines/>
        <c:numFmt formatCode="0" sourceLinked="0"/>
        <c:majorTickMark val="none"/>
        <c:tickLblPos val="nextTo"/>
        <c:crossAx val="84145280"/>
        <c:crosses val="autoZero"/>
        <c:crossBetween val="between"/>
        <c:majorUnit val="10"/>
      </c:valAx>
    </c:plotArea>
    <c:legend>
      <c:legendPos val="r"/>
      <c:layout>
        <c:manualLayout>
          <c:xMode val="edge"/>
          <c:yMode val="edge"/>
          <c:x val="0.79890126875166656"/>
          <c:y val="0.22188080217808617"/>
          <c:w val="0.20109879629975164"/>
          <c:h val="0.23552450838019173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2015 год</c:v>
                </c:pt>
              </c:strCache>
            </c:strRef>
          </c:tx>
          <c:dLbls>
            <c:dLbl>
              <c:idx val="0"/>
              <c:layout>
                <c:manualLayout>
                  <c:x val="-8.8819469261069827E-3"/>
                  <c:y val="-1.096616252886422E-2"/>
                </c:manualLayout>
              </c:layout>
              <c:showVal val="1"/>
            </c:dLbl>
            <c:dLbl>
              <c:idx val="1"/>
              <c:layout>
                <c:manualLayout>
                  <c:x val="-1.1574032446596704E-2"/>
                  <c:y val="-4.0344614599865884E-3"/>
                </c:manualLayout>
              </c:layout>
              <c:showVal val="1"/>
            </c:dLbl>
            <c:dLbl>
              <c:idx val="2"/>
              <c:layout>
                <c:manualLayout>
                  <c:x val="-1.4549748879269374E-2"/>
                  <c:y val="-3.3332780241728376E-3"/>
                </c:manualLayout>
              </c:layout>
              <c:showVal val="1"/>
            </c:dLbl>
            <c:dLbl>
              <c:idx val="3"/>
              <c:layout>
                <c:manualLayout>
                  <c:x val="-7.8797345100763312E-3"/>
                  <c:y val="-3.1183890179711276E-2"/>
                </c:manualLayout>
              </c:layout>
              <c:showVal val="1"/>
            </c:dLbl>
            <c:dLbl>
              <c:idx val="4"/>
              <c:layout>
                <c:manualLayout>
                  <c:x val="-9.259259259259342E-3"/>
                  <c:y val="0"/>
                </c:manualLayout>
              </c:layout>
              <c:showVal val="1"/>
            </c:dLbl>
            <c:dLbl>
              <c:idx val="5"/>
              <c:layout>
                <c:manualLayout>
                  <c:x val="-9.2592592592592535E-3"/>
                  <c:y val="7.9365079365079413E-3"/>
                </c:manualLayout>
              </c:layout>
              <c:showVal val="1"/>
            </c:dLbl>
            <c:dLbl>
              <c:idx val="6"/>
              <c:layout>
                <c:manualLayout>
                  <c:x val="-1.3888888888888885E-2"/>
                  <c:y val="0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0070C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Средняя итоговая балльная оценка по группе ГАБС</c:v>
                </c:pt>
                <c:pt idx="1">
                  <c:v>Управление экономической политики </c:v>
                </c:pt>
                <c:pt idx="2">
                  <c:v>Управление образования </c:v>
                </c:pt>
                <c:pt idx="3">
                  <c:v>Управление культуры </c:v>
                </c:pt>
                <c:pt idx="4">
                  <c:v>Управление социальной политики </c:v>
                </c:pt>
                <c:pt idx="5">
                  <c:v>ДМСиГ</c:v>
                </c:pt>
              </c:strCache>
            </c:strRef>
          </c:cat>
          <c:val>
            <c:numRef>
              <c:f>Лист1!$B$2:$B$7</c:f>
              <c:numCache>
                <c:formatCode>0.0</c:formatCode>
                <c:ptCount val="6"/>
                <c:pt idx="0">
                  <c:v>81.900000000000006</c:v>
                </c:pt>
                <c:pt idx="1">
                  <c:v>88.8</c:v>
                </c:pt>
                <c:pt idx="2">
                  <c:v>83.9</c:v>
                </c:pt>
                <c:pt idx="3">
                  <c:v>80.400000000000006</c:v>
                </c:pt>
                <c:pt idx="4" formatCode="General">
                  <c:v>78.400000000000006</c:v>
                </c:pt>
                <c:pt idx="5">
                  <c:v>78.2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 год</c:v>
                </c:pt>
              </c:strCache>
            </c:strRef>
          </c:tx>
          <c:dLbls>
            <c:dLbl>
              <c:idx val="1"/>
              <c:layout>
                <c:manualLayout>
                  <c:x val="2.3148386019447398E-3"/>
                  <c:y val="8.3336611488631844E-4"/>
                </c:manualLayout>
              </c:layout>
              <c:showVal val="1"/>
            </c:dLbl>
            <c:dLbl>
              <c:idx val="2"/>
              <c:layout>
                <c:manualLayout>
                  <c:x val="2.3148386019447398E-3"/>
                  <c:y val="3.9020923455415817E-3"/>
                </c:manualLayout>
              </c:layout>
              <c:showVal val="1"/>
            </c:dLbl>
            <c:dLbl>
              <c:idx val="3"/>
              <c:layout>
                <c:manualLayout>
                  <c:x val="8.0220358242755526E-3"/>
                  <c:y val="-5.6334530929535893E-3"/>
                </c:manualLayout>
              </c:layout>
              <c:showVal val="1"/>
            </c:dLbl>
            <c:dLbl>
              <c:idx val="4"/>
              <c:layout>
                <c:manualLayout>
                  <c:x val="-2.0397592441648029E-3"/>
                  <c:y val="-1.4230418943533697E-2"/>
                </c:manualLayout>
              </c:layout>
              <c:showVal val="1"/>
            </c:dLbl>
            <c:dLbl>
              <c:idx val="5"/>
              <c:layout>
                <c:manualLayout>
                  <c:x val="0"/>
                  <c:y val="-1.7076502732240439E-2"/>
                </c:manualLayout>
              </c:layout>
              <c:showVal val="1"/>
            </c:dLbl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Лист1!$A$2:$A$7</c:f>
              <c:strCache>
                <c:ptCount val="6"/>
                <c:pt idx="0">
                  <c:v>Средняя итоговая балльная оценка по группе ГАБС</c:v>
                </c:pt>
                <c:pt idx="1">
                  <c:v>Управление экономической политики </c:v>
                </c:pt>
                <c:pt idx="2">
                  <c:v>Управление образования </c:v>
                </c:pt>
                <c:pt idx="3">
                  <c:v>Управление культуры </c:v>
                </c:pt>
                <c:pt idx="4">
                  <c:v>Управление социальной политики </c:v>
                </c:pt>
                <c:pt idx="5">
                  <c:v>ДМСиГ</c:v>
                </c:pt>
              </c:strCache>
            </c:strRef>
          </c:cat>
          <c:val>
            <c:numRef>
              <c:f>Лист1!$C$2:$C$7</c:f>
              <c:numCache>
                <c:formatCode>0.0</c:formatCode>
                <c:ptCount val="6"/>
                <c:pt idx="0">
                  <c:v>82.5</c:v>
                </c:pt>
                <c:pt idx="1">
                  <c:v>91.4</c:v>
                </c:pt>
                <c:pt idx="2">
                  <c:v>86</c:v>
                </c:pt>
                <c:pt idx="3">
                  <c:v>74.599999999999994</c:v>
                </c:pt>
                <c:pt idx="4" formatCode="General">
                  <c:v>77.099999999999994</c:v>
                </c:pt>
                <c:pt idx="5">
                  <c:v>83.7</c:v>
                </c:pt>
              </c:numCache>
            </c:numRef>
          </c:val>
        </c:ser>
        <c:axId val="88473984"/>
        <c:axId val="88475520"/>
      </c:barChart>
      <c:catAx>
        <c:axId val="88473984"/>
        <c:scaling>
          <c:orientation val="minMax"/>
        </c:scaling>
        <c:axPos val="b"/>
        <c:tickLblPos val="nextTo"/>
        <c:txPr>
          <a:bodyPr/>
          <a:lstStyle/>
          <a:p>
            <a:pPr>
              <a:defRPr sz="900" baseline="0">
                <a:solidFill>
                  <a:sysClr val="windowText" lastClr="000000"/>
                </a:solidFill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475520"/>
        <c:crosses val="autoZero"/>
        <c:auto val="1"/>
        <c:lblAlgn val="ctr"/>
        <c:lblOffset val="100"/>
      </c:catAx>
      <c:valAx>
        <c:axId val="88475520"/>
        <c:scaling>
          <c:orientation val="minMax"/>
        </c:scaling>
        <c:axPos val="l"/>
        <c:majorGridlines/>
        <c:numFmt formatCode="0.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473984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dLbls>
            <c:dLbl>
              <c:idx val="0"/>
              <c:layout>
                <c:manualLayout>
                  <c:x val="6.2336819537060564E-3"/>
                  <c:y val="-0.26824011959922556"/>
                </c:manualLayout>
              </c:layout>
              <c:showVal val="1"/>
            </c:dLbl>
            <c:dLbl>
              <c:idx val="1"/>
              <c:layout>
                <c:manualLayout>
                  <c:x val="4.1573159527381566E-3"/>
                  <c:y val="-0.44448095031276447"/>
                </c:manualLayout>
              </c:layout>
              <c:showVal val="1"/>
            </c:dLbl>
            <c:dLbl>
              <c:idx val="2"/>
              <c:layout>
                <c:manualLayout>
                  <c:x val="2.0781900175860912E-3"/>
                  <c:y val="-6.7383299553254034E-2"/>
                </c:manualLayout>
              </c:layout>
              <c:showVal val="1"/>
            </c:dLbl>
            <c:dLbl>
              <c:idx val="3"/>
              <c:layout>
                <c:manualLayout>
                  <c:x val="8.3126673551324748E-3"/>
                  <c:y val="-0.36233337008924427"/>
                </c:manualLayout>
              </c:layout>
              <c:showVal val="1"/>
            </c:dLbl>
            <c:dLbl>
              <c:idx val="4"/>
              <c:layout>
                <c:manualLayout>
                  <c:x val="8.3174150184635622E-3"/>
                  <c:y val="-0.28070262294663867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 sz="1200" b="1">
                      <a:solidFill>
                        <a:srgbClr val="C000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</c:v>
                </c:pt>
                <c:pt idx="1">
                  <c:v>2</c:v>
                </c:pt>
                <c:pt idx="2">
                  <c:v>6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shape val="cylinder"/>
        <c:axId val="88549632"/>
        <c:axId val="88555520"/>
        <c:axId val="0"/>
      </c:bar3DChart>
      <c:catAx>
        <c:axId val="88549632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555520"/>
        <c:crosses val="autoZero"/>
        <c:auto val="1"/>
        <c:lblAlgn val="ctr"/>
        <c:lblOffset val="100"/>
      </c:catAx>
      <c:valAx>
        <c:axId val="88555520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549632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1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  <c:userShapes r:id="rId2"/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col"/>
        <c:grouping val="stack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количество ГАБС</c:v>
                </c:pt>
              </c:strCache>
            </c:strRef>
          </c:tx>
          <c:dLbls>
            <c:dLbl>
              <c:idx val="0"/>
              <c:layout>
                <c:manualLayout>
                  <c:x val="6.2336819537060521E-3"/>
                  <c:y val="-8.7236023190727846E-2"/>
                </c:manualLayout>
              </c:layout>
              <c:showVal val="1"/>
            </c:dLbl>
            <c:dLbl>
              <c:idx val="1"/>
              <c:layout>
                <c:manualLayout>
                  <c:x val="8.3156141806483234E-3"/>
                  <c:y val="-0.15392174292017441"/>
                </c:manualLayout>
              </c:layout>
              <c:showVal val="1"/>
            </c:dLbl>
            <c:dLbl>
              <c:idx val="2"/>
              <c:layout>
                <c:manualLayout>
                  <c:x val="1.2473912408558356E-2"/>
                  <c:y val="-0.21980820916962479"/>
                </c:manualLayout>
              </c:layout>
              <c:showVal val="1"/>
            </c:dLbl>
            <c:dLbl>
              <c:idx val="3"/>
              <c:layout>
                <c:manualLayout>
                  <c:x val="1.0391816469087501E-2"/>
                  <c:y val="-0.44330888690357101"/>
                </c:manualLayout>
              </c:layout>
              <c:showVal val="1"/>
            </c:dLbl>
            <c:dLbl>
              <c:idx val="4"/>
              <c:layout>
                <c:manualLayout>
                  <c:x val="8.3174150184635517E-3"/>
                  <c:y val="-0.21401690321719319"/>
                </c:manualLayout>
              </c:layout>
              <c:spPr>
                <a:solidFill>
                  <a:schemeClr val="bg1"/>
                </a:solidFill>
              </c:spPr>
              <c:txPr>
                <a:bodyPr/>
                <a:lstStyle/>
                <a:p>
                  <a:pPr>
                    <a:defRPr sz="1200" b="1">
                      <a:solidFill>
                        <a:srgbClr val="C00000"/>
                      </a:solidFill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showVal val="1"/>
            </c:dLbl>
            <c:txPr>
              <a:bodyPr/>
              <a:lstStyle/>
              <a:p>
                <a:pPr>
                  <a:defRPr sz="1200" b="1">
                    <a:solidFill>
                      <a:srgbClr val="C00000"/>
                    </a:solidFill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</c:dLbls>
          <c:cat>
            <c:strRef>
              <c:f>Лист1!$A$2:$A$6</c:f>
              <c:strCache>
                <c:ptCount val="5"/>
                <c:pt idx="0">
                  <c:v>до 60</c:v>
                </c:pt>
                <c:pt idx="1">
                  <c:v>(60-70)</c:v>
                </c:pt>
                <c:pt idx="2">
                  <c:v>(70-80)</c:v>
                </c:pt>
                <c:pt idx="3">
                  <c:v>(80-90)</c:v>
                </c:pt>
                <c:pt idx="4">
                  <c:v>(90-100)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0</c:v>
                </c:pt>
                <c:pt idx="1">
                  <c:v>3</c:v>
                </c:pt>
                <c:pt idx="2">
                  <c:v>5</c:v>
                </c:pt>
                <c:pt idx="3">
                  <c:v>2</c:v>
                </c:pt>
                <c:pt idx="4">
                  <c:v>1</c:v>
                </c:pt>
              </c:numCache>
            </c:numRef>
          </c:val>
        </c:ser>
        <c:shape val="cylinder"/>
        <c:axId val="88557824"/>
        <c:axId val="76521856"/>
        <c:axId val="0"/>
      </c:bar3DChart>
      <c:catAx>
        <c:axId val="88557824"/>
        <c:scaling>
          <c:orientation val="minMax"/>
        </c:scaling>
        <c:axPos val="b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76521856"/>
        <c:crosses val="autoZero"/>
        <c:auto val="1"/>
        <c:lblAlgn val="ctr"/>
        <c:lblOffset val="100"/>
      </c:catAx>
      <c:valAx>
        <c:axId val="76521856"/>
        <c:scaling>
          <c:orientation val="minMax"/>
        </c:scaling>
        <c:axPos val="l"/>
        <c:majorGridlines/>
        <c:numFmt formatCode="General" sourceLinked="1"/>
        <c:tickLblPos val="nextTo"/>
        <c:txPr>
          <a:bodyPr/>
          <a:lstStyle/>
          <a:p>
            <a:pPr>
              <a:defRPr sz="10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8557824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1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txPr>
        <a:bodyPr/>
        <a:lstStyle/>
        <a:p>
          <a:pPr>
            <a:defRPr sz="105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ln>
      <a:noFill/>
    </a:ln>
  </c:spPr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1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диапазон оценок (баллов</a:t>
          </a:r>
          <a:r>
            <a:rPr lang="ru-RU" b="1">
              <a:solidFill>
                <a:schemeClr val="tx2"/>
              </a:solidFill>
            </a:rPr>
            <a:t>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0.34602</cdr:x>
      <cdr:y>0</cdr:y>
    </cdr:from>
    <cdr:to>
      <cdr:x>0.66827</cdr:x>
      <cdr:y>0.07814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113598" y="-109728"/>
          <a:ext cx="1968389" cy="20834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dist"/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74,2</a:t>
          </a:r>
        </a:p>
        <a:p xmlns:a="http://schemas.openxmlformats.org/drawingml/2006/main">
          <a:endParaRPr lang="ru-RU" sz="12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0.35306</cdr:x>
      <cdr:y>0.06584</cdr:y>
    </cdr:from>
    <cdr:to>
      <cdr:x>0.35426</cdr:x>
      <cdr:y>0.86973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2305103" y="175313"/>
          <a:ext cx="7835" cy="2140545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1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диапазон оценок (баллов)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0.15516</cdr:x>
      <cdr:y>0.08013</cdr:y>
    </cdr:from>
    <cdr:to>
      <cdr:x>0.47435</cdr:x>
      <cdr:y>0.16026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948136" y="182880"/>
          <a:ext cx="1950501" cy="18288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pPr algn="dist"/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76,0</a:t>
          </a:r>
        </a:p>
        <a:p xmlns:a="http://schemas.openxmlformats.org/drawingml/2006/main">
          <a:endParaRPr lang="ru-RU" sz="12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0.42946</cdr:x>
      <cdr:y>0.09919</cdr:y>
    </cdr:from>
    <cdr:to>
      <cdr:x>0.43066</cdr:x>
      <cdr:y>0.90308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2807376" y="276386"/>
          <a:ext cx="7844" cy="2239904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1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диапазон оценок (баллов)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0.41054</cdr:x>
      <cdr:y>0.01618</cdr:y>
    </cdr:from>
    <cdr:to>
      <cdr:x>0.73279</cdr:x>
      <cdr:y>0.1282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2630613" y="43134"/>
          <a:ext cx="2064858" cy="2985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77,4</a:t>
          </a:r>
        </a:p>
        <a:p xmlns:a="http://schemas.openxmlformats.org/drawingml/2006/main">
          <a:endParaRPr lang="ru-RU" sz="1200" b="1">
            <a:solidFill>
              <a:srgbClr val="FF0000"/>
            </a:solidFill>
            <a:latin typeface="Times New Roman" panose="02020603050405020304" pitchFamily="18" charset="0"/>
            <a:cs typeface="Times New Roman" panose="02020603050405020304" pitchFamily="18" charset="0"/>
          </a:endParaRPr>
        </a:p>
      </cdr:txBody>
    </cdr:sp>
  </cdr:relSizeAnchor>
  <cdr:relSizeAnchor xmlns:cdr="http://schemas.openxmlformats.org/drawingml/2006/chartDrawing">
    <cdr:from>
      <cdr:x>0.41378</cdr:x>
      <cdr:y>0.05986</cdr:y>
    </cdr:from>
    <cdr:to>
      <cdr:x>0.41498</cdr:x>
      <cdr:y>0.86375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2651327" y="159570"/>
          <a:ext cx="7689" cy="2142819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1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диапазон оценок (баллов)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  <a:latin typeface="Times New Roman" pitchFamily="18" charset="0"/>
            <a:cs typeface="Times New Roman" pitchFamily="18" charset="0"/>
          </a:endParaRPr>
        </a:p>
      </cdr:txBody>
    </cdr:sp>
  </cdr:relSizeAnchor>
  <cdr:relSizeAnchor xmlns:cdr="http://schemas.openxmlformats.org/drawingml/2006/chartDrawing">
    <cdr:from>
      <cdr:x>0.67775</cdr:x>
      <cdr:y>0.05428</cdr:y>
    </cdr:from>
    <cdr:to>
      <cdr:x>1</cdr:x>
      <cdr:y>0.13242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4435908" y="190204"/>
          <a:ext cx="1968792" cy="27380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100,0</a:t>
          </a:r>
        </a:p>
      </cdr:txBody>
    </cdr:sp>
  </cdr:relSizeAnchor>
  <cdr:relSizeAnchor xmlns:cdr="http://schemas.openxmlformats.org/drawingml/2006/chartDrawing">
    <cdr:from>
      <cdr:x>0.67232</cdr:x>
      <cdr:y>0.06859</cdr:y>
    </cdr:from>
    <cdr:to>
      <cdr:x>0.67352</cdr:x>
      <cdr:y>0.87248</cdr:y>
    </cdr:to>
    <cdr:sp macro="" textlink="">
      <cdr:nvSpPr>
        <cdr:cNvPr id="10" name="Прямая соединительная линия 9"/>
        <cdr:cNvSpPr/>
      </cdr:nvSpPr>
      <cdr:spPr>
        <a:xfrm xmlns:a="http://schemas.openxmlformats.org/drawingml/2006/main" flipH="1">
          <a:off x="4106722" y="182880"/>
          <a:ext cx="7315" cy="2143354"/>
        </a:xfrm>
        <a:prstGeom xmlns:a="http://schemas.openxmlformats.org/drawingml/2006/main" prst="line">
          <a:avLst/>
        </a:prstGeom>
        <a:ln xmlns:a="http://schemas.openxmlformats.org/drawingml/2006/main" w="12700" cmpd="sng">
          <a:solidFill>
            <a:srgbClr val="FF0000"/>
          </a:solidFill>
        </a:ln>
        <a:scene3d xmlns:a="http://schemas.openxmlformats.org/drawingml/2006/main">
          <a:camera prst="orthographicFront"/>
          <a:lightRig rig="threePt" dir="t"/>
        </a:scene3d>
        <a:sp3d xmlns:a="http://schemas.openxmlformats.org/drawingml/2006/main" contourW="6350">
          <a:contourClr>
            <a:srgbClr val="FF0000"/>
          </a:contourClr>
        </a:sp3d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endParaRPr lang="ru-RU" b="1"/>
        </a:p>
      </cdr:txBody>
    </cdr:sp>
  </cdr:relSizeAnchor>
</c:userShapes>
</file>

<file path=word/drawings/drawing5.xml><?xml version="1.0" encoding="utf-8"?>
<c:userShapes xmlns:c="http://schemas.openxmlformats.org/drawingml/2006/chart">
  <cdr:relSizeAnchor xmlns:cdr="http://schemas.openxmlformats.org/drawingml/2006/chartDrawing">
    <cdr:from>
      <cdr:x>0.70053</cdr:x>
      <cdr:y>0.88914</cdr:y>
    </cdr:from>
    <cdr:to>
      <cdr:x>0.99972</cdr:x>
      <cdr:y>0.98057</cdr:y>
    </cdr:to>
    <cdr:sp macro="" textlink="">
      <cdr:nvSpPr>
        <cdr:cNvPr id="2" name="Прямоугольник 1"/>
        <cdr:cNvSpPr/>
      </cdr:nvSpPr>
      <cdr:spPr>
        <a:xfrm xmlns:a="http://schemas.openxmlformats.org/drawingml/2006/main">
          <a:off x="3843376" y="2845612"/>
          <a:ext cx="1641500" cy="29260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  <a:ln xmlns:a="http://schemas.openxmlformats.org/drawingml/2006/main">
          <a:solidFill>
            <a:schemeClr val="bg1"/>
          </a:solidFill>
        </a:ln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 vertOverflow="clip"/>
        <a:lstStyle xmlns:a="http://schemas.openxmlformats.org/drawingml/2006/main"/>
        <a:p xmlns:a="http://schemas.openxmlformats.org/drawingml/2006/main">
          <a:pPr algn="ctr"/>
          <a:r>
            <a:rPr lang="ru-RU" b="1">
              <a:solidFill>
                <a:schemeClr val="tx2"/>
              </a:solidFill>
              <a:latin typeface="Times New Roman" pitchFamily="18" charset="0"/>
              <a:cs typeface="Times New Roman" pitchFamily="18" charset="0"/>
            </a:rPr>
            <a:t>диапазон оценок (баллов)</a:t>
          </a:r>
        </a:p>
        <a:p xmlns:a="http://schemas.openxmlformats.org/drawingml/2006/main">
          <a:pPr algn="ctr"/>
          <a:endParaRPr lang="ru-RU" b="1">
            <a:solidFill>
              <a:schemeClr val="tx2"/>
            </a:solidFill>
          </a:endParaRPr>
        </a:p>
      </cdr:txBody>
    </cdr:sp>
  </cdr:relSizeAnchor>
  <cdr:relSizeAnchor xmlns:cdr="http://schemas.openxmlformats.org/drawingml/2006/chartDrawing">
    <cdr:from>
      <cdr:x>0.62173</cdr:x>
      <cdr:y>0</cdr:y>
    </cdr:from>
    <cdr:to>
      <cdr:x>0.62188</cdr:x>
      <cdr:y>0.95546</cdr:y>
    </cdr:to>
    <cdr:cxnSp macro="">
      <cdr:nvCxnSpPr>
        <cdr:cNvPr id="3" name="Прямая соединительная линия 2"/>
        <cdr:cNvCxnSpPr/>
      </cdr:nvCxnSpPr>
      <cdr:spPr>
        <a:xfrm xmlns:a="http://schemas.openxmlformats.org/drawingml/2006/main" flipH="1">
          <a:off x="3798485" y="0"/>
          <a:ext cx="897" cy="3347923"/>
        </a:xfrm>
        <a:prstGeom xmlns:a="http://schemas.openxmlformats.org/drawingml/2006/main" prst="line">
          <a:avLst/>
        </a:prstGeom>
        <a:noFill xmlns:a="http://schemas.openxmlformats.org/drawingml/2006/main"/>
        <a:ln xmlns:a="http://schemas.openxmlformats.org/drawingml/2006/main" w="38100" cap="flat" cmpd="sng" algn="ctr">
          <a:solidFill>
            <a:srgbClr val="FF0000"/>
          </a:solidFill>
          <a:prstDash val="solid"/>
        </a:ln>
        <a:effectLst xmlns:a="http://schemas.openxmlformats.org/drawingml/2006/main"/>
      </cdr:spPr>
      <cdr:style>
        <a:lnRef xmlns:a="http://schemas.openxmlformats.org/drawingml/2006/main" idx="3">
          <a:schemeClr val="accent2"/>
        </a:lnRef>
        <a:fillRef xmlns:a="http://schemas.openxmlformats.org/drawingml/2006/main" idx="0">
          <a:schemeClr val="accent2"/>
        </a:fillRef>
        <a:effectRef xmlns:a="http://schemas.openxmlformats.org/drawingml/2006/main" idx="2">
          <a:schemeClr val="accent2"/>
        </a:effectRef>
        <a:fontRef xmlns:a="http://schemas.openxmlformats.org/drawingml/2006/main" idx="minor">
          <a:schemeClr val="tx1"/>
        </a:fontRef>
      </cdr:style>
    </cdr:cxnSp>
  </cdr:relSizeAnchor>
  <cdr:relSizeAnchor xmlns:cdr="http://schemas.openxmlformats.org/drawingml/2006/chartDrawing">
    <cdr:from>
      <cdr:x>0.32568</cdr:x>
      <cdr:y>0.05637</cdr:y>
    </cdr:from>
    <cdr:to>
      <cdr:x>0.60769</cdr:x>
      <cdr:y>0.13451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1989734" y="197511"/>
          <a:ext cx="1722996" cy="2738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Calibri"/>
            </a:defRPr>
          </a:lvl1pPr>
          <a:lvl2pPr marL="457200" indent="0">
            <a:defRPr sz="1100">
              <a:latin typeface="Calibri"/>
            </a:defRPr>
          </a:lvl2pPr>
          <a:lvl3pPr marL="914400" indent="0">
            <a:defRPr sz="1100">
              <a:latin typeface="Calibri"/>
            </a:defRPr>
          </a:lvl3pPr>
          <a:lvl4pPr marL="1371600" indent="0">
            <a:defRPr sz="1100">
              <a:latin typeface="Calibri"/>
            </a:defRPr>
          </a:lvl4pPr>
          <a:lvl5pPr marL="1828800" indent="0">
            <a:defRPr sz="1100">
              <a:latin typeface="Calibri"/>
            </a:defRPr>
          </a:lvl5pPr>
          <a:lvl6pPr marL="2286000" indent="0">
            <a:defRPr sz="1100">
              <a:latin typeface="Calibri"/>
            </a:defRPr>
          </a:lvl6pPr>
          <a:lvl7pPr marL="2743200" indent="0">
            <a:defRPr sz="1100">
              <a:latin typeface="Calibri"/>
            </a:defRPr>
          </a:lvl7pPr>
          <a:lvl8pPr marL="3200400" indent="0">
            <a:defRPr sz="1100">
              <a:latin typeface="Calibri"/>
            </a:defRPr>
          </a:lvl8pPr>
          <a:lvl9pPr marL="3657600" indent="0">
            <a:defRPr sz="1100">
              <a:latin typeface="Calibri"/>
            </a:defRPr>
          </a:lvl9pPr>
        </a:lstStyle>
        <a:p xmlns:a="http://schemas.openxmlformats.org/drawingml/2006/main">
          <a:r>
            <a:rPr lang="ru-RU" sz="1200" b="1">
              <a:solidFill>
                <a:srgbClr val="FF0000"/>
              </a:solidFill>
              <a:latin typeface="Times New Roman" panose="02020603050405020304" pitchFamily="18" charset="0"/>
              <a:cs typeface="Times New Roman" panose="02020603050405020304" pitchFamily="18" charset="0"/>
            </a:rPr>
            <a:t>среднее значение 96,2</a:t>
          </a:r>
        </a:p>
      </cdr:txBody>
    </cdr:sp>
  </cdr:relSizeAnchor>
</c:userShape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3B0085-1A7C-4416-B8B4-2D5780D624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26</Pages>
  <Words>10881</Words>
  <Characters>62027</Characters>
  <Application>Microsoft Office Word</Application>
  <DocSecurity>0</DocSecurity>
  <Lines>516</Lines>
  <Paragraphs>145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Malceva_IU</dc:creator>
  <cp:lastModifiedBy>Гущина Ирина Анатольевна</cp:lastModifiedBy>
  <cp:revision>9</cp:revision>
  <cp:lastPrinted>2017-07-28T10:04:00Z</cp:lastPrinted>
  <dcterms:created xsi:type="dcterms:W3CDTF">2017-07-28T10:05:00Z</dcterms:created>
  <dcterms:modified xsi:type="dcterms:W3CDTF">2017-08-14T09:07:00Z</dcterms:modified>
</cp:coreProperties>
</file>