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B3" w:rsidRPr="007F34B3" w:rsidRDefault="007F34B3" w:rsidP="007F34B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  <w:r w:rsidRPr="007F34B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0D02E" wp14:editId="645F57B0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81940"/>
                <wp:effectExtent l="0" t="0" r="27940" b="10160"/>
                <wp:wrapNone/>
                <wp:docPr id="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8BE" w:rsidRDefault="006B38BE" w:rsidP="007F34B3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" strokecolor="white">
                <v:textbox style="mso-fit-shape-to-text:t">
                  <w:txbxContent>
                    <w:p w:rsidR="006B38BE" w:rsidRDefault="006B38BE" w:rsidP="007F34B3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«В </w:t>
                      </w:r>
                      <w:proofErr w:type="spellStart"/>
                      <w:r>
                        <w:rPr>
                          <w:b/>
                        </w:rPr>
                        <w:t>регистр</w:t>
                      </w:r>
                      <w:proofErr w:type="spellEnd"/>
                      <w:r>
                        <w:rPr>
                          <w:b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7F34B3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38B3F931" wp14:editId="6B6BA91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4B3" w:rsidRPr="007F34B3" w:rsidRDefault="007F34B3" w:rsidP="007F34B3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7F34B3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7F34B3" w:rsidRPr="007F34B3" w:rsidRDefault="007F34B3" w:rsidP="007F34B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34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7F34B3" w:rsidRPr="007F34B3" w:rsidRDefault="007F34B3" w:rsidP="007F34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F34B3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7F34B3" w:rsidRPr="007F34B3" w:rsidRDefault="007F34B3" w:rsidP="007F34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30 декабря 2014  </w:t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№ 7414</w:t>
      </w:r>
    </w:p>
    <w:p w:rsidR="007F34B3" w:rsidRPr="007F34B3" w:rsidRDefault="007F34B3" w:rsidP="007F34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О внесении изменений в постановление </w:t>
      </w:r>
    </w:p>
    <w:p w:rsidR="007F34B3" w:rsidRPr="007F34B3" w:rsidRDefault="007F34B3" w:rsidP="007F34B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администрации города </w:t>
      </w:r>
      <w:proofErr w:type="spellStart"/>
      <w:r w:rsidRPr="007F34B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Югорска</w:t>
      </w:r>
      <w:proofErr w:type="spellEnd"/>
      <w:r w:rsidRPr="007F34B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7F34B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от 31.10.2013 № 3289</w:t>
      </w:r>
    </w:p>
    <w:p w:rsidR="007F34B3" w:rsidRPr="007F34B3" w:rsidRDefault="007F34B3" w:rsidP="007F34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B3" w:rsidRPr="007F34B3" w:rsidRDefault="007F34B3" w:rsidP="007F34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B3" w:rsidRPr="007F34B3" w:rsidRDefault="007F34B3" w:rsidP="007F34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</w:t>
      </w:r>
      <w:proofErr w:type="spellStart"/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07.10.2013 № 2906 «О муниципальных и ведомственных целевых программах города  </w:t>
      </w:r>
      <w:proofErr w:type="spellStart"/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F34B3">
        <w:rPr>
          <w:rFonts w:ascii="Times New Roman" w:eastAsia="Times New Roman" w:hAnsi="Times New Roman" w:cs="Times New Roman"/>
          <w:sz w:val="24"/>
          <w:szCs w:val="24"/>
          <w:lang w:eastAsia="ar-SA"/>
        </w:rPr>
        <w:t>»: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 Внести в приложение к постановлению администрации города </w:t>
      </w:r>
      <w:proofErr w:type="spellStart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31.10.2013 № 3289 «О муниципальной программе города </w:t>
      </w:r>
      <w:proofErr w:type="spellStart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«Профилактика правонарушений, противодействие коррупции и незаконному обороту наркотиков в городе </w:t>
      </w:r>
      <w:proofErr w:type="spellStart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Югорске</w:t>
      </w:r>
      <w:proofErr w:type="spellEnd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2014 – 2020 годы» (с изменениями от 29.04.2014 № 1819, 25.06.2014 № 2928, 06.08.2014 № 3994, 19.09.2014 № 4897, 22.10.2014 № 5600, 17.11.2014 № 6232, 23.12.2014 № 7243) следующие изменения: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В Паспорте муниципальной программы «Профилактика правонарушений, противодействие коррупции и незаконному обороту наркотиков в городе </w:t>
      </w:r>
      <w:proofErr w:type="spellStart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Югорске</w:t>
      </w:r>
      <w:proofErr w:type="spellEnd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2014 – 2020 годы» строки «Ответственный исполнитель муниципальной программы», «</w:t>
      </w:r>
      <w:r w:rsidRPr="007F34B3">
        <w:rPr>
          <w:rFonts w:ascii="Times New Roman" w:eastAsia="Calibri" w:hAnsi="Times New Roman" w:cs="Times New Roman"/>
          <w:sz w:val="24"/>
          <w:szCs w:val="24"/>
        </w:rPr>
        <w:t>Соисполнители муниципальной программы»,</w:t>
      </w: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«Финансовое обеспечение муниципальной программы» изложить в следующей редакции: 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Style w:val="aff3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7F34B3" w:rsidRPr="007F34B3" w:rsidTr="007F34B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B3" w:rsidRPr="007F34B3" w:rsidRDefault="007F34B3" w:rsidP="007F34B3">
            <w:pPr>
              <w:suppressAutoHyphens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B3" w:rsidRPr="007F34B3" w:rsidRDefault="007F34B3" w:rsidP="007F34B3">
            <w:pPr>
              <w:suppressAutoHyphens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</w:tr>
    </w:tbl>
    <w:p w:rsidR="007F34B3" w:rsidRPr="007F34B3" w:rsidRDefault="007F34B3" w:rsidP="007F34B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»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Style w:val="aff3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7F34B3" w:rsidRPr="007F34B3" w:rsidTr="007F34B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B3" w:rsidRPr="007F34B3" w:rsidRDefault="007F34B3" w:rsidP="007F34B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казенное учреждение «Служба обеспечения органов местного самоуправления»; </w:t>
            </w:r>
          </w:p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Юридическое управление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муниципальной службы кадров и архивов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информационной политики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F34B3" w:rsidRPr="007F34B3" w:rsidRDefault="007F34B3" w:rsidP="007F34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опеки и попечительства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F34B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F34B3" w:rsidRPr="007F34B3" w:rsidRDefault="007F34B3" w:rsidP="007F34B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F34B3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</w:tr>
    </w:tbl>
    <w:p w:rsidR="007F34B3" w:rsidRPr="007F34B3" w:rsidRDefault="007F34B3" w:rsidP="007F34B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»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7F34B3" w:rsidRPr="007F34B3" w:rsidTr="007F34B3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Общее финансирование муниципальной программы составляет 7291,0 тыс. рублей,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 том числе: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окружного бюджета – 1049,0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местного бюджета – 6242,0тыс.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 том числе: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2014 год –  3890,3 тыс. рублей, из них: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окружного бюджета – 895,6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местного бюджета – 2994,7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2015 год –  126,6 тыс. рублей, из них: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окружного бюджета – 88,6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местного бюджета – 38,0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2016 год –  46,3 тыс. рублей, из них: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окружного бюджета – 32,4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местного бюджета – 13,9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2017  год –  46,3 тыс. рублей, из них: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окружного бюджета – 32,4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местного бюджета – 13,9 тыс. рублей;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2018 год (за счет средств местного бюджета) – 1860,5 тыс. рублей;</w:t>
            </w:r>
          </w:p>
          <w:p w:rsidR="007F34B3" w:rsidRPr="007F34B3" w:rsidRDefault="007F34B3" w:rsidP="007F34B3">
            <w:pPr>
              <w:numPr>
                <w:ilvl w:val="0"/>
                <w:numId w:val="2"/>
              </w:numPr>
              <w:suppressAutoHyphens/>
              <w:spacing w:after="0"/>
              <w:ind w:left="601" w:hanging="601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F34B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год (за счет средств местного бюджета) – 660,5 тыс. рублей;</w:t>
            </w:r>
          </w:p>
          <w:p w:rsidR="007F34B3" w:rsidRPr="007F34B3" w:rsidRDefault="007F34B3" w:rsidP="007F3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B3">
              <w:rPr>
                <w:rFonts w:ascii="Times New Roman" w:eastAsia="Calibri" w:hAnsi="Times New Roman" w:cs="Times New Roman"/>
                <w:sz w:val="24"/>
                <w:szCs w:val="24"/>
              </w:rPr>
              <w:t>2020 год  (за счет средств местного бюджета) – 660,5  тыс. рублей.</w:t>
            </w:r>
          </w:p>
        </w:tc>
      </w:tr>
    </w:tbl>
    <w:p w:rsidR="007F34B3" w:rsidRPr="007F34B3" w:rsidRDefault="007F34B3" w:rsidP="007F34B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»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1.2. Таблицу 2 изложить в новой редакции согласно приложению.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3. Настоящее постановление вступает в силу после его официального опубликования в газете «Югорский вестник».</w:t>
      </w:r>
    </w:p>
    <w:p w:rsidR="007F34B3" w:rsidRPr="007F34B3" w:rsidRDefault="007F34B3" w:rsidP="007F34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4. </w:t>
      </w:r>
      <w:proofErr w:type="gramStart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7F34B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администрации города А.В. Бородкина.</w:t>
      </w: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города </w:t>
      </w:r>
      <w:proofErr w:type="spellStart"/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М.И. </w:t>
      </w:r>
      <w:proofErr w:type="spellStart"/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7F34B3" w:rsidRPr="007F34B3" w:rsidRDefault="007F34B3" w:rsidP="007F34B3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34B3" w:rsidRPr="007F34B3" w:rsidRDefault="007F34B3" w:rsidP="007F34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7F34B3" w:rsidRPr="007F34B3">
          <w:pgSz w:w="11906" w:h="16838"/>
          <w:pgMar w:top="397" w:right="567" w:bottom="568" w:left="1418" w:header="709" w:footer="709" w:gutter="0"/>
          <w:cols w:space="720"/>
        </w:sectPr>
      </w:pPr>
    </w:p>
    <w:p w:rsidR="007F34B3" w:rsidRPr="007F34B3" w:rsidRDefault="007F34B3" w:rsidP="007F34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7F34B3" w:rsidRPr="007F34B3" w:rsidRDefault="007F34B3" w:rsidP="007F34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7F34B3" w:rsidRPr="007F34B3" w:rsidRDefault="007F34B3" w:rsidP="007F34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администрации города </w:t>
      </w:r>
      <w:proofErr w:type="spellStart"/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7F34B3" w:rsidRPr="007F34B3" w:rsidRDefault="007F34B3" w:rsidP="007F34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30 декабря 2014 года  № 7414</w:t>
      </w:r>
      <w:r w:rsidRPr="007F34B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</w:p>
    <w:p w:rsidR="007F34B3" w:rsidRPr="007F34B3" w:rsidRDefault="007F34B3" w:rsidP="006B38BE">
      <w:pPr>
        <w:shd w:val="clear" w:color="auto" w:fill="FFFFFF"/>
        <w:tabs>
          <w:tab w:val="left" w:pos="14265"/>
          <w:tab w:val="right" w:pos="155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2</w:t>
      </w:r>
    </w:p>
    <w:p w:rsidR="007F34B3" w:rsidRPr="007F34B3" w:rsidRDefault="007F34B3" w:rsidP="007F34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34B3" w:rsidRPr="007F34B3" w:rsidRDefault="007F34B3" w:rsidP="007F34B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34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мероприятий муниципальной программы</w:t>
      </w:r>
    </w:p>
    <w:p w:rsidR="007F34B3" w:rsidRPr="007F34B3" w:rsidRDefault="007F34B3" w:rsidP="007F34B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6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1"/>
        <w:gridCol w:w="3283"/>
        <w:gridCol w:w="2729"/>
        <w:gridCol w:w="139"/>
        <w:gridCol w:w="146"/>
        <w:gridCol w:w="1733"/>
        <w:gridCol w:w="64"/>
        <w:gridCol w:w="44"/>
        <w:gridCol w:w="634"/>
        <w:gridCol w:w="91"/>
        <w:gridCol w:w="51"/>
        <w:gridCol w:w="64"/>
        <w:gridCol w:w="14"/>
        <w:gridCol w:w="497"/>
        <w:gridCol w:w="231"/>
        <w:gridCol w:w="52"/>
        <w:gridCol w:w="37"/>
        <w:gridCol w:w="34"/>
        <w:gridCol w:w="632"/>
        <w:gridCol w:w="6"/>
        <w:gridCol w:w="9"/>
        <w:gridCol w:w="81"/>
        <w:gridCol w:w="122"/>
        <w:gridCol w:w="473"/>
        <w:gridCol w:w="33"/>
        <w:gridCol w:w="134"/>
        <w:gridCol w:w="7"/>
        <w:gridCol w:w="81"/>
        <w:gridCol w:w="123"/>
        <w:gridCol w:w="586"/>
        <w:gridCol w:w="110"/>
        <w:gridCol w:w="90"/>
        <w:gridCol w:w="66"/>
        <w:gridCol w:w="17"/>
        <w:gridCol w:w="567"/>
        <w:gridCol w:w="54"/>
        <w:gridCol w:w="19"/>
        <w:gridCol w:w="134"/>
        <w:gridCol w:w="10"/>
        <w:gridCol w:w="53"/>
        <w:gridCol w:w="9"/>
        <w:gridCol w:w="572"/>
        <w:gridCol w:w="242"/>
        <w:gridCol w:w="20"/>
        <w:gridCol w:w="14"/>
        <w:gridCol w:w="818"/>
        <w:gridCol w:w="29"/>
        <w:gridCol w:w="35"/>
      </w:tblGrid>
      <w:tr w:rsidR="007F34B3" w:rsidRPr="007F34B3" w:rsidTr="007F34B3">
        <w:trPr>
          <w:gridAfter w:val="1"/>
          <w:wAfter w:w="35" w:type="dxa"/>
          <w:trHeight w:val="621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Мероприятия программы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94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Финансовые затраты на реализацию (тыс. рублей)</w:t>
            </w:r>
          </w:p>
        </w:tc>
      </w:tr>
      <w:tr w:rsidR="007F34B3" w:rsidRPr="007F34B3" w:rsidTr="007F34B3">
        <w:trPr>
          <w:gridAfter w:val="1"/>
          <w:wAfter w:w="35" w:type="dxa"/>
          <w:trHeight w:val="304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Источники финансирования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Цель 1. Совершенствование системы социальной профилактики правонарушений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Подпрограмма I. Профилактика правонарушений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Задача 1. Профилактика правонарушений в общественных местах, в том числе с участием граждан</w:t>
            </w:r>
          </w:p>
        </w:tc>
      </w:tr>
      <w:tr w:rsidR="007F34B3" w:rsidRPr="007F34B3" w:rsidTr="007F34B3">
        <w:trPr>
          <w:gridAfter w:val="1"/>
          <w:wAfter w:w="35" w:type="dxa"/>
          <w:trHeight w:val="348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Размещение (в том числе разработка проектов, приобретение, установка, монтаж, подключение) в наиболее криминогенных общественных местах и на улицах города, местах массового пребывания граждан систем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видеообзора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с установкой мониторов для </w:t>
            </w:r>
            <w:proofErr w:type="gram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контроля за</w:t>
            </w:r>
            <w:proofErr w:type="gram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обстановкой и оперативного реагирования, модернизации имеющихся систем видеонаблюдения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456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3500,0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842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3500,0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348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1.2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функционирования системы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видеообзора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муниципальное казенное учреждение «Служба </w:t>
            </w: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обеспечения органов местного самоуправления»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245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208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524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1.3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Материальное стимулирование граждан, участвующих в охране общественного порядка, пресечении преступлений и правонарушений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proofErr w:type="gram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бухгалтерского</w:t>
            </w:r>
            <w:proofErr w:type="gramEnd"/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учета и отчетности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356,0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402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145,5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433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501,5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7F34B3" w:rsidRPr="007F34B3" w:rsidTr="007F34B3">
        <w:trPr>
          <w:gridAfter w:val="1"/>
          <w:wAfter w:w="35" w:type="dxa"/>
          <w:trHeight w:val="862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1.4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Материально - техническое обеспечение деятельности добровольных формирований (приобретение форменного обмундирования, вычислительной и оргтехники, средств связи, фонариков,  нагрудных знаков, изготовление (приобретение) ежедневников для членов добровольных формирований, канцелярских принадлежностей</w:t>
            </w:r>
            <w:proofErr w:type="gramEnd"/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бухгалтерского учета и отчетности администрации 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348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Итого по задаче 1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470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4245,5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1210,5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5294,5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1210,5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Задача 2. Совершенствование информационного и методического обеспечения профилактики правонарушений, повышение правосознания граждан</w:t>
            </w:r>
          </w:p>
        </w:tc>
      </w:tr>
      <w:tr w:rsidR="007F34B3" w:rsidRPr="007F34B3" w:rsidTr="007F34B3">
        <w:trPr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2.1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по тематике профилактики правонарушений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, управление информационной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rHeight w:val="233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2.2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Изготовление и размещение на рекламной конструкции баннеров профилактической направленности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7F34B3" w:rsidRPr="007F34B3" w:rsidTr="007F34B3">
        <w:trPr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2.3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Тематические выступления по профилактике правонарушений компетентных служб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97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Итого по задаче 2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1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Задача 3. Повышение эффективности системы профилактики антиобщественного поведения несовершеннолетних</w:t>
            </w:r>
          </w:p>
        </w:tc>
      </w:tr>
      <w:tr w:rsidR="007F34B3" w:rsidRPr="007F34B3" w:rsidTr="007F34B3">
        <w:trPr>
          <w:gridAfter w:val="1"/>
          <w:wAfter w:w="35" w:type="dxa"/>
          <w:trHeight w:val="1859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3.1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Проведение городского конкурса «Подросток и закон»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, отдел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94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1"/>
          <w:wAfter w:w="35" w:type="dxa"/>
          <w:trHeight w:val="2388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3.2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Участие городских служб профилактики в межведомственной операции «Подросток»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отдел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94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1"/>
          <w:wAfter w:w="35" w:type="dxa"/>
          <w:cantSplit/>
          <w:trHeight w:val="1429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3.3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Организация и проведение «Школы безопасности», «Военно-полевых сборов»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социальной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94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1"/>
          <w:wAfter w:w="35" w:type="dxa"/>
          <w:trHeight w:val="2052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3.4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Повышение квалификации социальных педагогов и педагогов - психологов, классных руководителей, работающих с детьми и подростками, находящимися в социально опасном положении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отдел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94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1"/>
          <w:wAfter w:w="35" w:type="dxa"/>
          <w:trHeight w:val="1544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3.5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Развитие системы постоянного и временного трудоустройства подростков и молодежи. Организация мероприятий в целях профориентации неработающей молодежи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социальной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94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1"/>
          <w:wAfter w:w="35" w:type="dxa"/>
          <w:trHeight w:val="348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по подпрограмме I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7F34B3" w:rsidRPr="007F34B3" w:rsidTr="007F34B3">
        <w:trPr>
          <w:gridAfter w:val="1"/>
          <w:wAfter w:w="35" w:type="dxa"/>
          <w:trHeight w:val="470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4695,5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5744,5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Цель 2. Совершенствование системы противодействия коррупции и снижения уровня коррупции в городе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Югорске</w:t>
            </w:r>
            <w:proofErr w:type="spellEnd"/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Подпрограмма II. Противодействие коррупции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Задача 1. Совершенствование информационного и методического обеспечения мероприятий по противодействию коррупции</w:t>
            </w:r>
          </w:p>
        </w:tc>
      </w:tr>
      <w:tr w:rsidR="007F34B3" w:rsidRPr="007F34B3" w:rsidTr="007F34B3">
        <w:trPr>
          <w:gridAfter w:val="1"/>
          <w:wAfter w:w="35" w:type="dxa"/>
          <w:trHeight w:val="1616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Подготовка телевизионных  сюжетов, публикаций антикоррупционной направленности тематических выступлений на антикоррупционную тематику компетентных служб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информационной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803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1"/>
          <w:wAfter w:w="35" w:type="dxa"/>
          <w:trHeight w:val="417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1.2.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Проведение социологических исследований среди жителей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по оценке восприятия уровня коррупции, доведение их результатов до населения города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, управление информационной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федеральный 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348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348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1"/>
          <w:wAfter w:w="35" w:type="dxa"/>
          <w:trHeight w:val="348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70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1"/>
          <w:wAfter w:w="35" w:type="dxa"/>
          <w:trHeight w:val="551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Итого по задаче 1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843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557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1"/>
          <w:wAfter w:w="35" w:type="dxa"/>
          <w:trHeight w:val="834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348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1"/>
          <w:wAfter w:w="35" w:type="dxa"/>
          <w:trHeight w:val="483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Задача 2. Формирование в обществе нетерпимого отношения к проявлениям коррупции</w:t>
            </w:r>
          </w:p>
        </w:tc>
      </w:tr>
      <w:tr w:rsidR="007F34B3" w:rsidRPr="007F34B3" w:rsidTr="007F34B3">
        <w:trPr>
          <w:gridAfter w:val="2"/>
          <w:wAfter w:w="64" w:type="dxa"/>
          <w:trHeight w:val="276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2.1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Изготовление и тиражирование социальной рекламы </w:t>
            </w: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антикоррупционной тематики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управление по вопросам общественной </w:t>
            </w: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, управление информационной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rHeight w:val="276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rHeight w:val="276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2"/>
          <w:wAfter w:w="64" w:type="dxa"/>
          <w:trHeight w:val="276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rHeight w:val="276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2"/>
          <w:wAfter w:w="64" w:type="dxa"/>
          <w:trHeight w:val="63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Итого по задаче 2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rHeight w:val="960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rHeight w:val="420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2"/>
          <w:wAfter w:w="64" w:type="dxa"/>
          <w:trHeight w:val="838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rHeight w:val="63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1"/>
          <w:wAfter w:w="35" w:type="dxa"/>
          <w:trHeight w:val="63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Задача 3. Совершенствование организации деятельности органов местного самоуправления в сфере реализации антикоррупционной политики</w:t>
            </w:r>
          </w:p>
        </w:tc>
      </w:tr>
      <w:tr w:rsidR="007F34B3" w:rsidRPr="007F34B3" w:rsidTr="007F34B3">
        <w:trPr>
          <w:gridAfter w:val="2"/>
          <w:wAfter w:w="64" w:type="dxa"/>
          <w:trHeight w:val="348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3.1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проведения обучающих семинаров по вопросам противодействия коррупции для должностных лиц муниципальных учреждений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rHeight w:val="559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3.2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Анализ практики антикоррупционной экспертизы нормативных правовых актов автономного округа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3.3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Проведение постоянного мониторинга действующего законодательства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3.4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совместных с прокуратурой совещаниях по вопросам нормотворчества и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правоприменения</w:t>
            </w:r>
            <w:proofErr w:type="spellEnd"/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3.5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Применение механизма ротации кадров путем формирования резерва кадров из числа муниципальных служащих и перемещение их на должности резерва на период отсутствия муниципального служащего,                 а при наличии вакансии — замещение ее «резервистом»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муниципальной службы кадров и архивов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3.6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Организация круглого стола по вопросам профилактики коррупции для учащихся старших классов образовательных учреждений.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3.7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Анализ эффективности реализации антикоррупционных мер, принимаемых органами местного самоуправления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Итого по задаче 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1555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1555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1555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Участие специалистов города в окружных семинарах, совещаниях-семинарах, семинарах-тренингах, круглых столов, комиссиях и т.д., занимающихся проблемами профилактики незаконного оборота, злоупотребления наркотических средств, психотропных веществ, пропагандой здорового образа жизни для повышения профессионального уровня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rHeight w:val="952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1.2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Проведение семинаров, семинаров-тренингов, совещаний специалистов,  занимающихся решением проблем несовершеннолетних. 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комиссия), 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1.3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Обеспечение участия специалистов (представителей субъектов профилактики) в городских мероприятиях по противодействию злоупотреблению наркотиками и их незаконному обороту, формированию здорового образа жизни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1.4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Проведение месячника по пропаганде здорового образа жизни и профилактики незаконного оборота, злоупотребления наркотических средств и психотропных веществ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1.5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Организация городских мероприятий, посвященных Международному Дню борьбы с наркоманией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1.6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Организация участия городских учреждений в области по популяризации и пропаганды здорового образа жизни «Белая птица»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1.7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деятельности волонтерских движений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комиссия), управление социальной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1.8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Участие в мероприятиях            Ханты Мансийского автономного округа - Югры в рамках кампании «Спорт против наркотиков»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социальной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1.9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Обеспечение расширения представления о происхождении и вреде наркотических средств через общеобразовательные предметы естественно - научного цикла у обучающихся образовательных учреждений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1.10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Проведение мероприятий среди семей, состоящих на учете в управлении опеки и попечительства по профилактике незаконного оборота и злоупотребления наркотических средств и психотропных веществ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опеки и попечительства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1.11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Организация добровольного тестирования несовершеннолетних образовательных учреждений города,  в том числе студентов на предмет потребления наркотических средств и психотропных веществ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комиссия),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77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Итого по задаче 1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бюджет </w:t>
            </w:r>
            <w:proofErr w:type="gramStart"/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автономного</w:t>
            </w:r>
            <w:proofErr w:type="gramEnd"/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округа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2"/>
          <w:wAfter w:w="64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Задача 2. Совершенствование информационного и методического обеспечения мероприятий по противодействию незаконному обороту наркотиков</w:t>
            </w:r>
          </w:p>
        </w:tc>
      </w:tr>
      <w:tr w:rsidR="007F34B3" w:rsidRPr="007F34B3" w:rsidTr="007F34B3">
        <w:trPr>
          <w:gridAfter w:val="1"/>
          <w:wAfter w:w="35" w:type="dxa"/>
          <w:trHeight w:val="1902"/>
          <w:tblHeader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2.1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Подготовка телевизионных  сюжетов, публикаций антинаркотической направленности, тематические выступления компетентных служб</w: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комиссия), управление информационной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8657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7F34B3" w:rsidRPr="007F34B3" w:rsidTr="007F34B3">
        <w:trPr>
          <w:gridAfter w:val="1"/>
          <w:wAfter w:w="35" w:type="dxa"/>
          <w:trHeight w:val="918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2.2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по противодействию незаконному обороту наркотиков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2.3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Изготовление и размещение на рекламной конструкции баннеров антинаркотической направленности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743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2.4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Разработка, приобретение, тиражирование, в том числе на электронных носителях, и размещение в сети Интернет учебной, методической, профилактической литературы и материалов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комиссия), управление информационной политики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Итого по задаче 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бюджет </w:t>
            </w:r>
            <w:proofErr w:type="gramStart"/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автономного</w:t>
            </w:r>
            <w:proofErr w:type="gramEnd"/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III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646,5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646,5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МУНИЦИПАЛЬНОЙ ПРОГРАММЕ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6242,0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2994,7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1860,5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</w:tr>
      <w:tr w:rsidR="007F34B3" w:rsidRPr="007F34B3" w:rsidTr="007F34B3">
        <w:trPr>
          <w:gridAfter w:val="1"/>
          <w:wAfter w:w="35" w:type="dxa"/>
          <w:trHeight w:val="921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7291,0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3890,3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1860,5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558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Ответственный исполнитель (управление по вопросам общественной безопасности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1096,5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1096,5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1 (департамент жилищно-коммунального и строительного комплекса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6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2 (управление бухгалтерского учета и отчетности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356,0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345,5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7F34B3" w:rsidRPr="007F34B3" w:rsidTr="007F34B3">
        <w:trPr>
          <w:gridAfter w:val="1"/>
          <w:wAfter w:w="35" w:type="dxa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701,5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Соисполнитель 3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4 (юридическое управление администрации города </w:t>
            </w:r>
            <w:proofErr w:type="spellStart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34B3" w:rsidRPr="007F34B3" w:rsidTr="007F34B3">
        <w:trPr>
          <w:gridAfter w:val="1"/>
          <w:wAfter w:w="35" w:type="dxa"/>
          <w:trHeight w:val="506"/>
          <w:tblHeader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B3" w:rsidRPr="007F34B3" w:rsidRDefault="007F34B3" w:rsidP="007F3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34B3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</w:tbl>
    <w:p w:rsidR="007F34B3" w:rsidRPr="007F34B3" w:rsidRDefault="007F34B3" w:rsidP="007F34B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F34B3" w:rsidRPr="007F34B3" w:rsidRDefault="007F34B3" w:rsidP="007F34B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F34B3" w:rsidRPr="007F34B3" w:rsidRDefault="007F34B3" w:rsidP="007F34B3">
      <w:pPr>
        <w:rPr>
          <w:rFonts w:ascii="Calibri" w:eastAsia="Calibri" w:hAnsi="Calibri" w:cs="Times New Roman"/>
        </w:rPr>
      </w:pPr>
    </w:p>
    <w:p w:rsidR="007F34B3" w:rsidRPr="007F34B3" w:rsidRDefault="007F34B3" w:rsidP="007F34B3">
      <w:pPr>
        <w:rPr>
          <w:rFonts w:ascii="Calibri" w:eastAsia="Calibri" w:hAnsi="Calibri" w:cs="Times New Roman"/>
        </w:rPr>
      </w:pPr>
    </w:p>
    <w:p w:rsidR="00630FC1" w:rsidRDefault="00630FC1"/>
    <w:sectPr w:rsidR="00630FC1" w:rsidSect="007F34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1">
    <w:nsid w:val="17235AA9"/>
    <w:multiLevelType w:val="hybridMultilevel"/>
    <w:tmpl w:val="4238C728"/>
    <w:lvl w:ilvl="0" w:tplc="BDD04938">
      <w:start w:val="2019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F9"/>
    <w:rsid w:val="005318F9"/>
    <w:rsid w:val="00630FC1"/>
    <w:rsid w:val="006B38BE"/>
    <w:rsid w:val="007F34B3"/>
    <w:rsid w:val="00DC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4B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34B3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4B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4B3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7F34B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4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F34B3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F34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34B3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F34B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7F34B3"/>
  </w:style>
  <w:style w:type="character" w:styleId="a3">
    <w:name w:val="Hyperlink"/>
    <w:uiPriority w:val="99"/>
    <w:semiHidden/>
    <w:unhideWhenUsed/>
    <w:rsid w:val="007F34B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7F34B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34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F34B3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7F34B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34B3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F3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F3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F3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F3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F34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7F3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7F34B3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7F34B3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F34B3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7F34B3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7F34B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5">
    <w:name w:val="Block Text"/>
    <w:basedOn w:val="a"/>
    <w:uiPriority w:val="99"/>
    <w:semiHidden/>
    <w:unhideWhenUsed/>
    <w:rsid w:val="007F34B3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7F34B3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7F34B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F34B3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7F34B3"/>
    <w:rPr>
      <w:rFonts w:ascii="Tahoma" w:eastAsia="Calibri" w:hAnsi="Tahoma" w:cs="Tahoma"/>
      <w:sz w:val="16"/>
      <w:szCs w:val="16"/>
      <w:lang w:eastAsia="ar-SA"/>
    </w:rPr>
  </w:style>
  <w:style w:type="paragraph" w:styleId="afa">
    <w:name w:val="No Spacing"/>
    <w:uiPriority w:val="1"/>
    <w:qFormat/>
    <w:rsid w:val="007F34B3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99"/>
    <w:qFormat/>
    <w:rsid w:val="007F34B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7F34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uiPriority w:val="99"/>
    <w:rsid w:val="007F34B3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F34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34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7F34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F34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F3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uiPriority w:val="99"/>
    <w:rsid w:val="007F34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F34B3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7F34B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7F34B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7F34B3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7F34B3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7F34B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7F34B3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7F34B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7F34B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7F34B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7F34B3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7F34B3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7F34B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7F34B3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7F34B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7F34B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7F34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7F34B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7F34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7F34B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7F34B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7F34B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7F34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7F34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7F34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Подзаголовок1"/>
    <w:basedOn w:val="a"/>
    <w:next w:val="a"/>
    <w:uiPriority w:val="11"/>
    <w:qFormat/>
    <w:rsid w:val="007F34B3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7F34B3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7F34B3"/>
  </w:style>
  <w:style w:type="paragraph" w:customStyle="1" w:styleId="Style3">
    <w:name w:val="Style3"/>
    <w:basedOn w:val="WW-"/>
    <w:uiPriority w:val="99"/>
    <w:rsid w:val="007F34B3"/>
  </w:style>
  <w:style w:type="paragraph" w:customStyle="1" w:styleId="afd">
    <w:name w:val="Заголовок"/>
    <w:basedOn w:val="a"/>
    <w:next w:val="ae"/>
    <w:uiPriority w:val="99"/>
    <w:rsid w:val="007F34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7F34B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uiPriority w:val="99"/>
    <w:rsid w:val="007F34B3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e">
    <w:name w:val="Содержимое врезки"/>
    <w:basedOn w:val="ae"/>
    <w:uiPriority w:val="99"/>
    <w:rsid w:val="007F34B3"/>
    <w:pPr>
      <w:suppressAutoHyphens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c"/>
    <w:uiPriority w:val="99"/>
    <w:rsid w:val="007F34B3"/>
    <w:pPr>
      <w:jc w:val="center"/>
    </w:pPr>
    <w:rPr>
      <w:rFonts w:cs="Calibri"/>
      <w:b/>
      <w:bCs/>
      <w:sz w:val="20"/>
      <w:szCs w:val="20"/>
    </w:rPr>
  </w:style>
  <w:style w:type="character" w:styleId="aff0">
    <w:name w:val="footnote reference"/>
    <w:uiPriority w:val="99"/>
    <w:semiHidden/>
    <w:unhideWhenUsed/>
    <w:rsid w:val="007F34B3"/>
    <w:rPr>
      <w:vertAlign w:val="superscript"/>
    </w:rPr>
  </w:style>
  <w:style w:type="character" w:styleId="aff1">
    <w:name w:val="annotation reference"/>
    <w:uiPriority w:val="99"/>
    <w:semiHidden/>
    <w:unhideWhenUsed/>
    <w:rsid w:val="007F34B3"/>
    <w:rPr>
      <w:sz w:val="16"/>
      <w:szCs w:val="16"/>
    </w:rPr>
  </w:style>
  <w:style w:type="character" w:customStyle="1" w:styleId="3">
    <w:name w:val="Основной шрифт абзаца3"/>
    <w:rsid w:val="007F34B3"/>
  </w:style>
  <w:style w:type="character" w:customStyle="1" w:styleId="Absatz-Standardschriftart">
    <w:name w:val="Absatz-Standardschriftart"/>
    <w:rsid w:val="007F34B3"/>
  </w:style>
  <w:style w:type="character" w:customStyle="1" w:styleId="16">
    <w:name w:val="Подзаголовок Знак1"/>
    <w:basedOn w:val="a0"/>
    <w:uiPriority w:val="11"/>
    <w:rsid w:val="007F34B3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7F34B3"/>
  </w:style>
  <w:style w:type="character" w:customStyle="1" w:styleId="WW-Absatz-Standardschriftart1">
    <w:name w:val="WW-Absatz-Standardschriftart1"/>
    <w:rsid w:val="007F34B3"/>
  </w:style>
  <w:style w:type="character" w:customStyle="1" w:styleId="WW-Absatz-Standardschriftart11">
    <w:name w:val="WW-Absatz-Standardschriftart11"/>
    <w:rsid w:val="007F34B3"/>
  </w:style>
  <w:style w:type="character" w:customStyle="1" w:styleId="WW-Absatz-Standardschriftart111">
    <w:name w:val="WW-Absatz-Standardschriftart111"/>
    <w:rsid w:val="007F34B3"/>
  </w:style>
  <w:style w:type="character" w:customStyle="1" w:styleId="WW-Absatz-Standardschriftart1111">
    <w:name w:val="WW-Absatz-Standardschriftart1111"/>
    <w:rsid w:val="007F34B3"/>
  </w:style>
  <w:style w:type="character" w:customStyle="1" w:styleId="WW-Absatz-Standardschriftart11111">
    <w:name w:val="WW-Absatz-Standardschriftart11111"/>
    <w:rsid w:val="007F34B3"/>
  </w:style>
  <w:style w:type="character" w:customStyle="1" w:styleId="WW-Absatz-Standardschriftart111111">
    <w:name w:val="WW-Absatz-Standardschriftart111111"/>
    <w:rsid w:val="007F34B3"/>
  </w:style>
  <w:style w:type="character" w:customStyle="1" w:styleId="WW-Absatz-Standardschriftart1111111">
    <w:name w:val="WW-Absatz-Standardschriftart1111111"/>
    <w:rsid w:val="007F34B3"/>
  </w:style>
  <w:style w:type="character" w:customStyle="1" w:styleId="WW-Absatz-Standardschriftart11111111">
    <w:name w:val="WW-Absatz-Standardschriftart11111111"/>
    <w:rsid w:val="007F34B3"/>
  </w:style>
  <w:style w:type="character" w:customStyle="1" w:styleId="WW-Absatz-Standardschriftart111111111">
    <w:name w:val="WW-Absatz-Standardschriftart111111111"/>
    <w:rsid w:val="007F34B3"/>
  </w:style>
  <w:style w:type="character" w:customStyle="1" w:styleId="WW-Absatz-Standardschriftart1111111111">
    <w:name w:val="WW-Absatz-Standardschriftart1111111111"/>
    <w:rsid w:val="007F34B3"/>
  </w:style>
  <w:style w:type="character" w:customStyle="1" w:styleId="WW-Absatz-Standardschriftart11111111111">
    <w:name w:val="WW-Absatz-Standardschriftart11111111111"/>
    <w:rsid w:val="007F34B3"/>
  </w:style>
  <w:style w:type="character" w:customStyle="1" w:styleId="WW-Absatz-Standardschriftart111111111111">
    <w:name w:val="WW-Absatz-Standardschriftart111111111111"/>
    <w:rsid w:val="007F34B3"/>
  </w:style>
  <w:style w:type="character" w:customStyle="1" w:styleId="WW-Absatz-Standardschriftart1111111111111">
    <w:name w:val="WW-Absatz-Standardschriftart1111111111111"/>
    <w:rsid w:val="007F34B3"/>
  </w:style>
  <w:style w:type="character" w:customStyle="1" w:styleId="WW-Absatz-Standardschriftart11111111111111">
    <w:name w:val="WW-Absatz-Standardschriftart11111111111111"/>
    <w:rsid w:val="007F34B3"/>
  </w:style>
  <w:style w:type="character" w:customStyle="1" w:styleId="WW-Absatz-Standardschriftart111111111111111">
    <w:name w:val="WW-Absatz-Standardschriftart111111111111111"/>
    <w:rsid w:val="007F34B3"/>
  </w:style>
  <w:style w:type="character" w:customStyle="1" w:styleId="17">
    <w:name w:val="Основной шрифт абзаца1"/>
    <w:rsid w:val="007F34B3"/>
  </w:style>
  <w:style w:type="character" w:customStyle="1" w:styleId="30">
    <w:name w:val="Основной текст 3 Знак"/>
    <w:rsid w:val="007F34B3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7F34B3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7F34B3"/>
  </w:style>
  <w:style w:type="table" w:styleId="aff3">
    <w:name w:val="Table Grid"/>
    <w:basedOn w:val="a1"/>
    <w:uiPriority w:val="59"/>
    <w:rsid w:val="007F34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uiPriority w:val="59"/>
    <w:rsid w:val="007F34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4B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34B3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4B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4B3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7F34B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4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F34B3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F34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34B3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F34B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7F34B3"/>
  </w:style>
  <w:style w:type="character" w:styleId="a3">
    <w:name w:val="Hyperlink"/>
    <w:uiPriority w:val="99"/>
    <w:semiHidden/>
    <w:unhideWhenUsed/>
    <w:rsid w:val="007F34B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7F34B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34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F34B3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7F34B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34B3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F3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F3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F3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F3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F34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7F3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7F34B3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7F34B3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F34B3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7F34B3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7F34B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5">
    <w:name w:val="Block Text"/>
    <w:basedOn w:val="a"/>
    <w:uiPriority w:val="99"/>
    <w:semiHidden/>
    <w:unhideWhenUsed/>
    <w:rsid w:val="007F34B3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7F34B3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7F34B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F34B3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7F34B3"/>
    <w:rPr>
      <w:rFonts w:ascii="Tahoma" w:eastAsia="Calibri" w:hAnsi="Tahoma" w:cs="Tahoma"/>
      <w:sz w:val="16"/>
      <w:szCs w:val="16"/>
      <w:lang w:eastAsia="ar-SA"/>
    </w:rPr>
  </w:style>
  <w:style w:type="paragraph" w:styleId="afa">
    <w:name w:val="No Spacing"/>
    <w:uiPriority w:val="1"/>
    <w:qFormat/>
    <w:rsid w:val="007F34B3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99"/>
    <w:qFormat/>
    <w:rsid w:val="007F34B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7F34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uiPriority w:val="99"/>
    <w:rsid w:val="007F34B3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F34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34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7F34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F34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F3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uiPriority w:val="99"/>
    <w:rsid w:val="007F34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F34B3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7F34B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7F34B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7F34B3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7F34B3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7F34B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7F34B3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7F34B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7F34B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7F34B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7F34B3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7F34B3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7F34B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7F34B3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7F34B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7F34B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7F34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7F34B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7F34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7F34B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7F34B3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7F34B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7F34B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7F34B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7F34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7F3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7F34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7F3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7F34B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7F34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7F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7F34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Подзаголовок1"/>
    <w:basedOn w:val="a"/>
    <w:next w:val="a"/>
    <w:uiPriority w:val="11"/>
    <w:qFormat/>
    <w:rsid w:val="007F34B3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7F34B3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7F34B3"/>
  </w:style>
  <w:style w:type="paragraph" w:customStyle="1" w:styleId="Style3">
    <w:name w:val="Style3"/>
    <w:basedOn w:val="WW-"/>
    <w:uiPriority w:val="99"/>
    <w:rsid w:val="007F34B3"/>
  </w:style>
  <w:style w:type="paragraph" w:customStyle="1" w:styleId="afd">
    <w:name w:val="Заголовок"/>
    <w:basedOn w:val="a"/>
    <w:next w:val="ae"/>
    <w:uiPriority w:val="99"/>
    <w:rsid w:val="007F34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7F34B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uiPriority w:val="99"/>
    <w:rsid w:val="007F34B3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e">
    <w:name w:val="Содержимое врезки"/>
    <w:basedOn w:val="ae"/>
    <w:uiPriority w:val="99"/>
    <w:rsid w:val="007F34B3"/>
    <w:pPr>
      <w:suppressAutoHyphens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c"/>
    <w:uiPriority w:val="99"/>
    <w:rsid w:val="007F34B3"/>
    <w:pPr>
      <w:jc w:val="center"/>
    </w:pPr>
    <w:rPr>
      <w:rFonts w:cs="Calibri"/>
      <w:b/>
      <w:bCs/>
      <w:sz w:val="20"/>
      <w:szCs w:val="20"/>
    </w:rPr>
  </w:style>
  <w:style w:type="character" w:styleId="aff0">
    <w:name w:val="footnote reference"/>
    <w:uiPriority w:val="99"/>
    <w:semiHidden/>
    <w:unhideWhenUsed/>
    <w:rsid w:val="007F34B3"/>
    <w:rPr>
      <w:vertAlign w:val="superscript"/>
    </w:rPr>
  </w:style>
  <w:style w:type="character" w:styleId="aff1">
    <w:name w:val="annotation reference"/>
    <w:uiPriority w:val="99"/>
    <w:semiHidden/>
    <w:unhideWhenUsed/>
    <w:rsid w:val="007F34B3"/>
    <w:rPr>
      <w:sz w:val="16"/>
      <w:szCs w:val="16"/>
    </w:rPr>
  </w:style>
  <w:style w:type="character" w:customStyle="1" w:styleId="3">
    <w:name w:val="Основной шрифт абзаца3"/>
    <w:rsid w:val="007F34B3"/>
  </w:style>
  <w:style w:type="character" w:customStyle="1" w:styleId="Absatz-Standardschriftart">
    <w:name w:val="Absatz-Standardschriftart"/>
    <w:rsid w:val="007F34B3"/>
  </w:style>
  <w:style w:type="character" w:customStyle="1" w:styleId="16">
    <w:name w:val="Подзаголовок Знак1"/>
    <w:basedOn w:val="a0"/>
    <w:uiPriority w:val="11"/>
    <w:rsid w:val="007F34B3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7F34B3"/>
  </w:style>
  <w:style w:type="character" w:customStyle="1" w:styleId="WW-Absatz-Standardschriftart1">
    <w:name w:val="WW-Absatz-Standardschriftart1"/>
    <w:rsid w:val="007F34B3"/>
  </w:style>
  <w:style w:type="character" w:customStyle="1" w:styleId="WW-Absatz-Standardschriftart11">
    <w:name w:val="WW-Absatz-Standardschriftart11"/>
    <w:rsid w:val="007F34B3"/>
  </w:style>
  <w:style w:type="character" w:customStyle="1" w:styleId="WW-Absatz-Standardschriftart111">
    <w:name w:val="WW-Absatz-Standardschriftart111"/>
    <w:rsid w:val="007F34B3"/>
  </w:style>
  <w:style w:type="character" w:customStyle="1" w:styleId="WW-Absatz-Standardschriftart1111">
    <w:name w:val="WW-Absatz-Standardschriftart1111"/>
    <w:rsid w:val="007F34B3"/>
  </w:style>
  <w:style w:type="character" w:customStyle="1" w:styleId="WW-Absatz-Standardschriftart11111">
    <w:name w:val="WW-Absatz-Standardschriftart11111"/>
    <w:rsid w:val="007F34B3"/>
  </w:style>
  <w:style w:type="character" w:customStyle="1" w:styleId="WW-Absatz-Standardschriftart111111">
    <w:name w:val="WW-Absatz-Standardschriftart111111"/>
    <w:rsid w:val="007F34B3"/>
  </w:style>
  <w:style w:type="character" w:customStyle="1" w:styleId="WW-Absatz-Standardschriftart1111111">
    <w:name w:val="WW-Absatz-Standardschriftart1111111"/>
    <w:rsid w:val="007F34B3"/>
  </w:style>
  <w:style w:type="character" w:customStyle="1" w:styleId="WW-Absatz-Standardschriftart11111111">
    <w:name w:val="WW-Absatz-Standardschriftart11111111"/>
    <w:rsid w:val="007F34B3"/>
  </w:style>
  <w:style w:type="character" w:customStyle="1" w:styleId="WW-Absatz-Standardschriftart111111111">
    <w:name w:val="WW-Absatz-Standardschriftart111111111"/>
    <w:rsid w:val="007F34B3"/>
  </w:style>
  <w:style w:type="character" w:customStyle="1" w:styleId="WW-Absatz-Standardschriftart1111111111">
    <w:name w:val="WW-Absatz-Standardschriftart1111111111"/>
    <w:rsid w:val="007F34B3"/>
  </w:style>
  <w:style w:type="character" w:customStyle="1" w:styleId="WW-Absatz-Standardschriftart11111111111">
    <w:name w:val="WW-Absatz-Standardschriftart11111111111"/>
    <w:rsid w:val="007F34B3"/>
  </w:style>
  <w:style w:type="character" w:customStyle="1" w:styleId="WW-Absatz-Standardschriftart111111111111">
    <w:name w:val="WW-Absatz-Standardschriftart111111111111"/>
    <w:rsid w:val="007F34B3"/>
  </w:style>
  <w:style w:type="character" w:customStyle="1" w:styleId="WW-Absatz-Standardschriftart1111111111111">
    <w:name w:val="WW-Absatz-Standardschriftart1111111111111"/>
    <w:rsid w:val="007F34B3"/>
  </w:style>
  <w:style w:type="character" w:customStyle="1" w:styleId="WW-Absatz-Standardschriftart11111111111111">
    <w:name w:val="WW-Absatz-Standardschriftart11111111111111"/>
    <w:rsid w:val="007F34B3"/>
  </w:style>
  <w:style w:type="character" w:customStyle="1" w:styleId="WW-Absatz-Standardschriftart111111111111111">
    <w:name w:val="WW-Absatz-Standardschriftart111111111111111"/>
    <w:rsid w:val="007F34B3"/>
  </w:style>
  <w:style w:type="character" w:customStyle="1" w:styleId="17">
    <w:name w:val="Основной шрифт абзаца1"/>
    <w:rsid w:val="007F34B3"/>
  </w:style>
  <w:style w:type="character" w:customStyle="1" w:styleId="30">
    <w:name w:val="Основной текст 3 Знак"/>
    <w:rsid w:val="007F34B3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7F34B3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7F34B3"/>
  </w:style>
  <w:style w:type="table" w:styleId="aff3">
    <w:name w:val="Table Grid"/>
    <w:basedOn w:val="a1"/>
    <w:uiPriority w:val="59"/>
    <w:rsid w:val="007F34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uiPriority w:val="59"/>
    <w:rsid w:val="007F34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</cp:revision>
  <dcterms:created xsi:type="dcterms:W3CDTF">2015-04-02T05:41:00Z</dcterms:created>
  <dcterms:modified xsi:type="dcterms:W3CDTF">2015-04-02T06:07:00Z</dcterms:modified>
</cp:coreProperties>
</file>