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AA" w:rsidRPr="007D25AA" w:rsidRDefault="00DE3907" w:rsidP="007D25AA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303.25pt;margin-top:.3pt;width:200.65pt;height:5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LiMw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" strokecolor="white" strokeweight=".5pt">
            <v:textbox inset="7.45pt,3.85pt,7.45pt,3.85pt">
              <w:txbxContent>
                <w:p w:rsidR="009E5A68" w:rsidRPr="007D25AA" w:rsidRDefault="009E5A68" w:rsidP="007D25AA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25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7D25AA" w:rsidRPr="007D25A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AA" w:rsidRPr="007D25AA" w:rsidRDefault="007D25AA" w:rsidP="007D25AA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7D25AA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7D25AA" w:rsidRPr="007D25AA" w:rsidRDefault="007D25AA" w:rsidP="007D25A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7D25AA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7D25AA" w:rsidRPr="007D25AA" w:rsidRDefault="007D25AA" w:rsidP="007D25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7D25AA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7D25A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№ ______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от 30.10.2018 № 3004 «О муниципальной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 xml:space="preserve">программе города </w:t>
      </w:r>
      <w:proofErr w:type="spellStart"/>
      <w:r w:rsidRPr="007D25A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5AA">
        <w:rPr>
          <w:rFonts w:ascii="Times New Roman" w:eastAsia="Calibri" w:hAnsi="Times New Roman" w:cs="Times New Roman"/>
          <w:sz w:val="24"/>
          <w:szCs w:val="24"/>
        </w:rPr>
        <w:t>«Развитие образования»</w:t>
      </w:r>
    </w:p>
    <w:p w:rsid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A49" w:rsidRPr="007D25AA" w:rsidRDefault="00B21A49" w:rsidP="007D2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A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01.11.2019 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A64C2">
        <w:rPr>
          <w:rFonts w:ascii="Times New Roman" w:eastAsia="Times New Roman" w:hAnsi="Times New Roman" w:cs="Times New Roman"/>
          <w:sz w:val="24"/>
          <w:szCs w:val="24"/>
          <w:lang w:eastAsia="ru-RU"/>
        </w:rPr>
        <w:t>2359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развития»: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30.10.2018 № 3004 «О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образования» (с изменениями от 29.04.2019 № 885, от 31.05.2019 № 1163, от 10.10.2019 № 2201) следующие изменения: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преамбуле слова «постановлением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в </w:t>
      </w:r>
      <w:r w:rsidRPr="007D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на слова «постановлением администрации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48EA">
        <w:rPr>
          <w:rFonts w:ascii="Times New Roman" w:eastAsia="Times New Roman" w:hAnsi="Times New Roman" w:cs="Times New Roman"/>
          <w:sz w:val="24"/>
          <w:szCs w:val="24"/>
          <w:lang w:eastAsia="ru-RU"/>
        </w:rPr>
        <w:t>01.11</w:t>
      </w:r>
      <w:r w:rsidR="00AE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E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8EA">
        <w:rPr>
          <w:rFonts w:ascii="Times New Roman" w:eastAsia="Times New Roman" w:hAnsi="Times New Roman" w:cs="Times New Roman"/>
          <w:sz w:val="24"/>
          <w:szCs w:val="24"/>
          <w:lang w:eastAsia="ru-RU"/>
        </w:rPr>
        <w:t>2359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модельной муниципальной программе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порядке принятия решения о разработке муниципальных программ города</w:t>
      </w:r>
      <w:proofErr w:type="gram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в </w:t>
      </w:r>
      <w:r w:rsidRPr="007D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25AA" w:rsidRPr="007D25AA" w:rsidRDefault="007D25AA" w:rsidP="007D25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Приложение изложить в новой редакции (приложение).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Опубликовать постановление в официальном печатном издании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опубликования,  но 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ранее 01.01.2020.</w:t>
      </w:r>
    </w:p>
    <w:p w:rsidR="007D25AA" w:rsidRPr="007D25AA" w:rsidRDefault="007D25AA" w:rsidP="007D25AA">
      <w:pPr>
        <w:tabs>
          <w:tab w:val="left" w:pos="993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Pr="007D2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5AA" w:rsidRPr="007D25AA" w:rsidRDefault="007D25AA" w:rsidP="007D25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25AA" w:rsidRPr="007D25AA" w:rsidRDefault="007D25AA" w:rsidP="007D25AA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7D25AA">
        <w:rPr>
          <w:rFonts w:ascii="Times New Roman" w:eastAsia="Calibri" w:hAnsi="Times New Roman" w:cs="Times New Roman"/>
          <w:b/>
          <w:sz w:val="24"/>
          <w:szCs w:val="24"/>
        </w:rPr>
        <w:t xml:space="preserve">Глава города                                                                                                   </w:t>
      </w:r>
      <w:r w:rsidR="000C5A21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7D25AA">
        <w:rPr>
          <w:rFonts w:ascii="Times New Roman" w:eastAsia="Calibri" w:hAnsi="Times New Roman" w:cs="Times New Roman"/>
          <w:b/>
          <w:sz w:val="24"/>
          <w:szCs w:val="24"/>
        </w:rPr>
        <w:t xml:space="preserve">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E5A68" w:rsidRPr="000C5A21" w:rsidRDefault="009E5A68" w:rsidP="009E5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0C5A21" w:rsidRDefault="000C5A21" w:rsidP="000C5A2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77EC0" w:rsidRPr="000C5A21" w:rsidRDefault="009E5A68" w:rsidP="000C5A2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Начальник Управления образования               </w:t>
      </w:r>
      <w:r w:rsid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                               </w:t>
      </w:r>
      <w:r w:rsid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           </w:t>
      </w:r>
      <w:r w:rsidRPr="000C5A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 Н.И. Бобровская</w:t>
      </w:r>
    </w:p>
    <w:p w:rsidR="009E5A68" w:rsidRDefault="009E5A68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 № ________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7D25AA" w:rsidRDefault="007D25AA" w:rsidP="007D25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</w:t>
      </w:r>
      <w:r w:rsidRPr="00B21A49">
        <w:rPr>
          <w:rFonts w:ascii="Times New Roman" w:eastAsia="Calibri" w:hAnsi="Times New Roman" w:cs="Times New Roman"/>
          <w:sz w:val="24"/>
          <w:szCs w:val="24"/>
          <w:u w:val="single"/>
        </w:rPr>
        <w:t>30.10.2018</w:t>
      </w:r>
      <w:r>
        <w:rPr>
          <w:rFonts w:ascii="Times New Roman" w:eastAsia="Calibri" w:hAnsi="Times New Roman" w:cs="Times New Roman"/>
          <w:sz w:val="24"/>
          <w:szCs w:val="24"/>
        </w:rPr>
        <w:t>__ № __</w:t>
      </w:r>
      <w:r w:rsidRPr="00B21A49">
        <w:rPr>
          <w:rFonts w:ascii="Times New Roman" w:eastAsia="Calibri" w:hAnsi="Times New Roman" w:cs="Times New Roman"/>
          <w:sz w:val="24"/>
          <w:szCs w:val="24"/>
          <w:u w:val="single"/>
        </w:rPr>
        <w:t>3004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Муниципальная программа города </w:t>
      </w:r>
      <w:proofErr w:type="spellStart"/>
      <w:r w:rsidRPr="003D44FE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«Развитие образования»</w:t>
      </w: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(далее – муниципальная программа)</w:t>
      </w:r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B681C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b/>
        </w:rPr>
      </w:pPr>
      <w:r w:rsidRPr="003D44FE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EB681C" w:rsidRPr="003D44FE" w:rsidRDefault="00EB681C" w:rsidP="00EB681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b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7026"/>
      </w:tblGrid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hAnsi="Times New Roman"/>
                <w:sz w:val="24"/>
              </w:rPr>
              <w:t xml:space="preserve">Постановление администрации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30.10.2018</w:t>
            </w:r>
            <w:r w:rsidRPr="00272D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272DEC"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3004</w:t>
            </w:r>
            <w:r w:rsidRPr="00272DEC">
              <w:rPr>
                <w:rFonts w:ascii="Times New Roman" w:hAnsi="Times New Roman"/>
                <w:sz w:val="24"/>
              </w:rPr>
              <w:t xml:space="preserve"> «О муниципальной программе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«Развитие образования»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tabs>
                <w:tab w:val="left" w:pos="960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tabs>
                <w:tab w:val="left" w:pos="302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1. Модернизация системы дошкольного, общего и дополнительного образования детей.</w:t>
            </w:r>
          </w:p>
          <w:p w:rsidR="00EB681C" w:rsidRPr="00272DEC" w:rsidRDefault="00EB681C" w:rsidP="00EB681C">
            <w:pPr>
              <w:tabs>
                <w:tab w:val="left" w:pos="302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EB681C" w:rsidRPr="00272DEC" w:rsidRDefault="00EB681C" w:rsidP="00EB681C">
            <w:pPr>
              <w:tabs>
                <w:tab w:val="left" w:pos="302"/>
              </w:tabs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инфраструктуры и организационно-</w:t>
            </w:r>
            <w:proofErr w:type="gramStart"/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обеспечивающих равную доступность услуг дошкольного, общего и дополнительного образования детей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7026" w:type="dxa"/>
          </w:tcPr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«Р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«Ф</w:t>
            </w:r>
            <w:r w:rsidRPr="0057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системы профессиональных конкурсов в целях предоставления гражданам возможностей для профессионального и карьерного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4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 «</w:t>
            </w:r>
            <w:r w:rsidRPr="00AA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организаций».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9 «</w:t>
            </w:r>
            <w:r w:rsidRPr="0046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</w:t>
            </w:r>
            <w:r w:rsidR="00ED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B681C" w:rsidRPr="00E755F0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FE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81C" w:rsidRPr="00E755F0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регионального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«Успех каждого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будущего».</w:t>
            </w:r>
          </w:p>
        </w:tc>
      </w:tr>
      <w:tr w:rsidR="00EB681C" w:rsidRPr="00272DEC" w:rsidTr="00EB681C">
        <w:tc>
          <w:tcPr>
            <w:tcW w:w="3323" w:type="dxa"/>
            <w:shd w:val="clear" w:color="auto" w:fill="auto"/>
            <w:vAlign w:val="center"/>
          </w:tcPr>
          <w:p w:rsidR="00EB681C" w:rsidRPr="00302F69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30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26" w:type="dxa"/>
            <w:shd w:val="clear" w:color="auto" w:fill="auto"/>
          </w:tcPr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«Современная школа»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825 235,7</w:t>
            </w: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«Успех каждого ребенка» -336 874,4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«Поддержка семей, имеющих детей» - 57 460,8 тыс. рублей;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«Учитель будущего» -5 075,6 тыс. рублей.</w:t>
            </w:r>
          </w:p>
          <w:p w:rsidR="00EB681C" w:rsidRPr="00FA6BF2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EB681C" w:rsidRPr="00302F69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- 412 196,9 тыс. рублей.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7026" w:type="dxa"/>
          </w:tcPr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доли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ежегодно не менее 33%.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Увеличение доступности дошкольного образования для детей в возрасте от 1,5 до 3 лет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100%.</w:t>
            </w:r>
          </w:p>
          <w:p w:rsidR="00EB681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Увеличение обеспеченности детей дошкольного возраста местами в дошкольных образовательных организациях (количество мест на 1000 детей)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Снижение 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 с 1,41 до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Увеличение доли детей в возрасте от 5 до 18 лет, охваченных 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дополнительным образованием, с 77,5 % до 80 %.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Сохранение доли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на уровне 20 %.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97,3%.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Увеличение доли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образования, с 21,4% до 47,4%.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образования, с 1,7 % до 5,0 %.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Увеличение доли педагогических работников, прошедших добровольную независимую оценку профессиональной квалификации, 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10%.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Увеличение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нарастающим итогом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0,000142 млн. единиц до 0,000426 млн. единиц.</w:t>
            </w:r>
          </w:p>
          <w:p w:rsidR="00EB681C" w:rsidRPr="00A547B3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Увеличение доли образовательных организаций, расположенных на территории города </w:t>
            </w:r>
            <w:proofErr w:type="spellStart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обеспеченных Интернетом со скоростью соединения не менее 100 Мб/</w:t>
            </w:r>
            <w:proofErr w:type="gramStart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образовательных организаций, расположенных в городах,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100%.</w:t>
            </w:r>
          </w:p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количества</w:t>
            </w:r>
            <w:r w:rsidRPr="00A5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объектов, предназначенных для размещения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 единиц.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26" w:type="dxa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 и на период до 2030 года</w:t>
            </w:r>
          </w:p>
        </w:tc>
      </w:tr>
      <w:tr w:rsidR="00EB681C" w:rsidRPr="00272DEC" w:rsidTr="00EB681C">
        <w:tc>
          <w:tcPr>
            <w:tcW w:w="3323" w:type="dxa"/>
            <w:vAlign w:val="center"/>
          </w:tcPr>
          <w:p w:rsidR="00EB681C" w:rsidRPr="00272DEC" w:rsidRDefault="00EB681C" w:rsidP="00EB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026" w:type="dxa"/>
          </w:tcPr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24 284 275,5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2 053 473,9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2020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801 287,9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2021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767 230,8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2 386 901,0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2023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871 191,3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2024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876 391,6 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тыс. рублей;</w:t>
            </w:r>
          </w:p>
          <w:p w:rsidR="00EB681C" w:rsidRPr="008F6EA3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2025 год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970 346,5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EB681C" w:rsidRPr="00272DEC" w:rsidRDefault="00EB681C" w:rsidP="00EB681C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10 557 452,5</w:t>
            </w:r>
            <w:r w:rsidRPr="008F6EA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рублей.</w:t>
            </w:r>
          </w:p>
        </w:tc>
      </w:tr>
    </w:tbl>
    <w:p w:rsidR="00272DEC" w:rsidRDefault="00272DEC" w:rsidP="00272D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40BA7" w:rsidRDefault="003C7715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Раздел </w:t>
      </w:r>
      <w:r w:rsidR="002C7CCA">
        <w:rPr>
          <w:rFonts w:ascii="Times New Roman" w:eastAsia="Calibri" w:hAnsi="Times New Roman" w:cs="Times New Roman"/>
          <w:sz w:val="24"/>
          <w:szCs w:val="24"/>
        </w:rPr>
        <w:t>1</w:t>
      </w:r>
      <w:r w:rsidR="00543897">
        <w:rPr>
          <w:rFonts w:ascii="Times New Roman" w:eastAsia="Calibri" w:hAnsi="Times New Roman" w:cs="Times New Roman"/>
          <w:sz w:val="24"/>
          <w:szCs w:val="24"/>
        </w:rPr>
        <w:t>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C11429" w:rsidRPr="005717DE" w:rsidRDefault="00C11429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C8643C" w:rsidRPr="00302F69" w:rsidRDefault="00C8643C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Согласно полномочиям ответственного исполнителя и соисполнителей муниципальной программы </w:t>
      </w:r>
      <w:r w:rsidR="00B97F72" w:rsidRPr="00302F69">
        <w:rPr>
          <w:rFonts w:ascii="Times New Roman" w:eastAsia="Calibri" w:hAnsi="Times New Roman" w:cs="Times New Roman"/>
          <w:sz w:val="24"/>
          <w:szCs w:val="24"/>
        </w:rPr>
        <w:t xml:space="preserve">муниципальная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программа содержит следующие меры, направленные 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62975" w:rsidRPr="00302F69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F62975" w:rsidRPr="00302F69">
        <w:rPr>
          <w:rFonts w:ascii="Times New Roman" w:eastAsia="Calibri" w:hAnsi="Times New Roman" w:cs="Times New Roman"/>
          <w:sz w:val="24"/>
          <w:szCs w:val="24"/>
        </w:rPr>
        <w:t xml:space="preserve">Формирование благоприятного инвестиционного климата, комплекса мероприятий, способствующих притоку инвестиций, финансовых, материальных, интеллектуальных и иных ресурсов в систему образования, а также увеличение доли частных организаций, оказывающих образовательные услуги, проектов строительства объектов дошкольного, общего образования, и др. 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Приоритетным направлением является создание объектов на условиях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-частного партнерства и концессионных соглашений.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данного направления предусмотрено приобретение объектов недвижимого имущества, предназначенных для размещения дошкольных образовательных организаций, общеобразовательных, подведомственных Управлению образования - на условиях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-частного партнерства и концессионных соглашений.</w:t>
      </w:r>
    </w:p>
    <w:p w:rsidR="00C80B55" w:rsidRPr="00302F69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К 2028 году 100% обучающихся в общеобразовательных организациях станут обучаться в одну смену.</w:t>
      </w:r>
      <w:proofErr w:type="gramEnd"/>
    </w:p>
    <w:p w:rsidR="00740BA7" w:rsidRDefault="00C80B55" w:rsidP="00C80B5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 2016 года всем детям в возрасте от 3 до 7 лет обеспечена доступность дошкольного образования, при этом остается потребность в местах для детей в возрасте до 3 лет. С целью обеспечения доступности дошкольного образования для детей в возрасте до 3 лет принимаются меры по созданию дополнительных мест в организациях, реализующих программы дошкольного образования, в том числе за счет средств регионального  бюджета. Создание мест будет обеспечиваться за счет развития негосударственного сектора в сфере дошкольного образования, приобретения нов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объект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а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дошкольн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ой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ой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и</w:t>
      </w:r>
      <w:r w:rsidRPr="00302F69">
        <w:rPr>
          <w:rFonts w:ascii="Times New Roman" w:eastAsia="Calibri" w:hAnsi="Times New Roman" w:cs="Times New Roman"/>
          <w:sz w:val="24"/>
          <w:szCs w:val="24"/>
        </w:rPr>
        <w:t>. В результате к 2021 году планируется обеспечить 100% доступность дошкольного образования для детей в возрасте от 1,5 до 3 лет</w:t>
      </w:r>
      <w:r w:rsidR="00740BA7" w:rsidRPr="00302F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>Для повышения инвестиционной активности в рамках программы планируется: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>привлечение финансовых ресурсов для реализации проектов по обеспечен</w:t>
      </w:r>
      <w:r>
        <w:rPr>
          <w:rFonts w:ascii="Times New Roman" w:eastAsia="Calibri" w:hAnsi="Times New Roman" w:cs="Times New Roman"/>
          <w:sz w:val="24"/>
          <w:szCs w:val="24"/>
        </w:rPr>
        <w:t>ию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доступно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дошкольного</w:t>
      </w:r>
      <w:r>
        <w:rPr>
          <w:rFonts w:ascii="Times New Roman" w:eastAsia="Calibri" w:hAnsi="Times New Roman" w:cs="Times New Roman"/>
          <w:sz w:val="24"/>
          <w:szCs w:val="24"/>
        </w:rPr>
        <w:t>, общего</w:t>
      </w: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образования, в том числе за счет внебюджетных источников финансирования;</w:t>
      </w:r>
    </w:p>
    <w:p w:rsidR="001D20A0" w:rsidRPr="001D20A0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оказание содействия инвесторам в реализации инвестиционных намерений, в части сопровождения, информационной поддержки, анализа и </w:t>
      </w:r>
      <w:proofErr w:type="gramStart"/>
      <w:r w:rsidRPr="001D20A0">
        <w:rPr>
          <w:rFonts w:ascii="Times New Roman" w:eastAsia="Calibri" w:hAnsi="Times New Roman" w:cs="Times New Roman"/>
          <w:sz w:val="24"/>
          <w:szCs w:val="24"/>
        </w:rPr>
        <w:t>мониторинга</w:t>
      </w:r>
      <w:proofErr w:type="gram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значимых для экономики города </w:t>
      </w:r>
      <w:proofErr w:type="spellStart"/>
      <w:r w:rsidRPr="001D20A0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проектов;</w:t>
      </w:r>
    </w:p>
    <w:p w:rsidR="001D20A0" w:rsidRPr="00302F69" w:rsidRDefault="001D20A0" w:rsidP="001D20A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поддержка </w:t>
      </w:r>
      <w:proofErr w:type="gramStart"/>
      <w:r w:rsidRPr="001D20A0">
        <w:rPr>
          <w:rFonts w:ascii="Times New Roman" w:eastAsia="Calibri" w:hAnsi="Times New Roman" w:cs="Times New Roman"/>
          <w:sz w:val="24"/>
          <w:szCs w:val="24"/>
        </w:rPr>
        <w:t>в актуальном состоянии базы данных по свободным инвестиционным площадкам в городе для их использования при организации</w:t>
      </w:r>
      <w:proofErr w:type="gramEnd"/>
      <w:r w:rsidRPr="001D20A0">
        <w:rPr>
          <w:rFonts w:ascii="Times New Roman" w:eastAsia="Calibri" w:hAnsi="Times New Roman" w:cs="Times New Roman"/>
          <w:sz w:val="24"/>
          <w:szCs w:val="24"/>
        </w:rPr>
        <w:t xml:space="preserve"> доступного дошкольного, общего образования (новые формы и методы).</w:t>
      </w:r>
    </w:p>
    <w:p w:rsidR="001D20A0" w:rsidRPr="00302F69" w:rsidRDefault="00C80B55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proofErr w:type="gramStart"/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Основными инструментами для формирования и реализации конкурентной политики в Ханты – Мансийском автономном округе - Югре стали Стандарт развития конкуренции в субъектах Российской Федерации, утвержденный распоряжением Правительства Российской Федерации от </w:t>
      </w:r>
      <w:r w:rsidR="00763EE8" w:rsidRPr="00763EE8">
        <w:rPr>
          <w:rFonts w:ascii="Times New Roman" w:eastAsia="Calibri" w:hAnsi="Times New Roman" w:cs="Times New Roman"/>
          <w:sz w:val="24"/>
          <w:szCs w:val="24"/>
        </w:rPr>
        <w:t xml:space="preserve">17.04.2019 № 768-р 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и План мероприятий «дорожная карта» по содействию развитию конкуренции в Ханты – Мансийском автономном округе – Югре, утвержденный распоряжением Правительства Ханты – Мансийского автономного округа – Югры от </w:t>
      </w:r>
      <w:r w:rsidR="001D20A0">
        <w:rPr>
          <w:rFonts w:ascii="Times New Roman" w:eastAsia="Calibri" w:hAnsi="Times New Roman" w:cs="Times New Roman"/>
          <w:sz w:val="24"/>
          <w:szCs w:val="24"/>
        </w:rPr>
        <w:t>01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.</w:t>
      </w:r>
      <w:r w:rsidR="001D20A0">
        <w:rPr>
          <w:rFonts w:ascii="Times New Roman" w:eastAsia="Calibri" w:hAnsi="Times New Roman" w:cs="Times New Roman"/>
          <w:sz w:val="24"/>
          <w:szCs w:val="24"/>
        </w:rPr>
        <w:t>08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.201</w:t>
      </w:r>
      <w:r w:rsidR="001D20A0">
        <w:rPr>
          <w:rFonts w:ascii="Times New Roman" w:eastAsia="Calibri" w:hAnsi="Times New Roman" w:cs="Times New Roman"/>
          <w:sz w:val="24"/>
          <w:szCs w:val="24"/>
        </w:rPr>
        <w:t>9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D20A0">
        <w:rPr>
          <w:rFonts w:ascii="Times New Roman" w:eastAsia="Calibri" w:hAnsi="Times New Roman" w:cs="Times New Roman"/>
          <w:sz w:val="24"/>
          <w:szCs w:val="24"/>
        </w:rPr>
        <w:t>162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-рп, в которых определены приоритетные</w:t>
      </w:r>
      <w:proofErr w:type="gramEnd"/>
      <w:r w:rsidR="001D20A0" w:rsidRPr="001D20A0">
        <w:rPr>
          <w:rFonts w:ascii="Times New Roman" w:eastAsia="Calibri" w:hAnsi="Times New Roman" w:cs="Times New Roman"/>
          <w:sz w:val="24"/>
          <w:szCs w:val="24"/>
        </w:rPr>
        <w:t xml:space="preserve"> и социально значимые рынки товаров и услуг автономного округа, в том числе рынок услуг</w:t>
      </w:r>
      <w:r w:rsidR="00BD5E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дошкольного образования;</w:t>
      </w:r>
    </w:p>
    <w:p w:rsidR="007D25AA" w:rsidRPr="00302F69" w:rsidRDefault="007D25AA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обще</w:t>
      </w:r>
      <w:r w:rsidR="00BD5EEC">
        <w:rPr>
          <w:rFonts w:ascii="Times New Roman" w:eastAsia="Calibri" w:hAnsi="Times New Roman" w:cs="Times New Roman"/>
          <w:sz w:val="24"/>
          <w:szCs w:val="24"/>
        </w:rPr>
        <w:t>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BD5EEC">
        <w:rPr>
          <w:rFonts w:ascii="Times New Roman" w:eastAsia="Calibri" w:hAnsi="Times New Roman" w:cs="Times New Roman"/>
          <w:sz w:val="24"/>
          <w:szCs w:val="24"/>
        </w:rPr>
        <w:t>я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детей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25AA" w:rsidRPr="00302F69" w:rsidRDefault="007D25AA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психолого-педагогическо</w:t>
      </w:r>
      <w:r w:rsidR="00BD5EEC">
        <w:rPr>
          <w:rFonts w:ascii="Times New Roman" w:eastAsia="Calibri" w:hAnsi="Times New Roman" w:cs="Times New Roman"/>
          <w:sz w:val="24"/>
          <w:szCs w:val="24"/>
        </w:rPr>
        <w:t>го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сопровождени</w:t>
      </w:r>
      <w:r w:rsidR="00BD5EEC">
        <w:rPr>
          <w:rFonts w:ascii="Times New Roman" w:eastAsia="Calibri" w:hAnsi="Times New Roman" w:cs="Times New Roman"/>
          <w:sz w:val="24"/>
          <w:szCs w:val="24"/>
        </w:rPr>
        <w:t>я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C6223F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1.2.1. В муниципальной программе выделены следующие мероприятия, направленные на улучшение конкурентной среды на рынке услуг дошкольного образования:</w:t>
      </w:r>
    </w:p>
    <w:p w:rsidR="00EB681C" w:rsidRPr="00302F69" w:rsidRDefault="00EB681C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81C">
        <w:rPr>
          <w:rFonts w:ascii="Times New Roman" w:eastAsia="Calibri" w:hAnsi="Times New Roman" w:cs="Times New Roman"/>
          <w:sz w:val="24"/>
          <w:szCs w:val="24"/>
        </w:rPr>
        <w:t xml:space="preserve">реализация финансово-экономической модели «Сертификат </w:t>
      </w:r>
      <w:r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Pr="00EB68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реализация финансово-экономической модели «Сертификат дошкольника».</w:t>
      </w:r>
    </w:p>
    <w:p w:rsidR="00C6223F" w:rsidRPr="00302F69" w:rsidRDefault="00C6223F" w:rsidP="00C622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1.2.2. С целью обеспечения доступа негосударственного сектора к бюджетному финансированию разработана система персонифицированного финансирования </w:t>
      </w:r>
      <w:r w:rsidRPr="00302F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дополнительного образования детей (Сертификат дополнительного образования). С 2018 года услуги дополнительного образования, финансируемые за счет средств бюджета </w:t>
      </w:r>
      <w:r w:rsidR="00816D31" w:rsidRPr="00302F69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302F69">
        <w:rPr>
          <w:rFonts w:ascii="Times New Roman" w:eastAsia="Calibri" w:hAnsi="Times New Roman" w:cs="Times New Roman"/>
          <w:sz w:val="24"/>
          <w:szCs w:val="24"/>
        </w:rPr>
        <w:t>, оказываются на основе сертификата дополнительного образования.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Также оказывается консультативная и методическая помощь негосударственным поставщикам услуг.</w:t>
      </w:r>
    </w:p>
    <w:p w:rsidR="001D20A0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1D20A0" w:rsidRPr="001D20A0">
        <w:rPr>
          <w:rFonts w:ascii="Times New Roman" w:eastAsia="Calibri" w:hAnsi="Times New Roman" w:cs="Times New Roman"/>
          <w:sz w:val="24"/>
          <w:szCs w:val="24"/>
        </w:rPr>
        <w:t>Работа органов местного самоуправления в области развития предпринимательства должна быть направлена в первую очередь на создание оптимальных правовых, экономических и социальных условий его функционирования. Развитие же предпринимательства, в свою очередь, позволит увеличить экономический потенциал территории, эффективно использовать имеющиеся трудовые, материально-технические и сырьевые ресурсы, привлечь к взаимовыгодному сотрудничеству инвесторов из других городов автономного округа, регионов России.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реализует мероприятия, направленные на повышение эффективности мер поддержки малого и среднего предпринимательства, социально ориентированных некоммерческих организаций в сфере образования. 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Негосударственные организации имеют возможность принимать участие в реализации следующих мероприятий муниципальной программы: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присмотр и уход за детьми дошкольного возраста (мероприятие 1);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реализация дополнительных общеразвивающих программ (мероприятие 2);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организация и проведение мероприятий, направленных на выявление и развитие у обучающихся интеллектуальных и творческих способностей.</w:t>
      </w:r>
    </w:p>
    <w:p w:rsidR="00E60A1F" w:rsidRPr="00302F69" w:rsidRDefault="00E60A1F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Финансовая поддержка в виде субсидий социально ориентированным некоммерческим организациям, исполнителям общественно полезных услуг предоставляется на срок не менее двух лет.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1.4. В соответствии с основными направлениями Национальной технологической инициативы предусмотрена поддержка негосударственных организаций и индивидуальных предпринимателей по разработке открытых образовательных программ технической, инженерной и естественнонаучной направленностей, содержание которых направлено на развитие компетенций будущего.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Реализация вышеуказанных мер позволит увеличить число детей, обучающихся по дополнительным образовательным программам, в частных организациях (не менее </w:t>
      </w:r>
      <w:r w:rsidR="00E60A1F" w:rsidRPr="00302F69">
        <w:rPr>
          <w:rFonts w:ascii="Times New Roman" w:eastAsia="Calibri" w:hAnsi="Times New Roman" w:cs="Times New Roman"/>
          <w:sz w:val="24"/>
          <w:szCs w:val="24"/>
        </w:rPr>
        <w:t>5</w:t>
      </w:r>
      <w:r w:rsidRPr="00302F69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1.5. Повышение производительности труда за счет: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стимулирования, целенаправленного, непрерывного повышения уровня квалификации педагогических работников;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снижения излишней административной нагрузки на учителей с учетом технологий 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«</w:t>
      </w:r>
      <w:r w:rsidRPr="00302F69">
        <w:rPr>
          <w:rFonts w:ascii="Times New Roman" w:eastAsia="Calibri" w:hAnsi="Times New Roman" w:cs="Times New Roman"/>
          <w:sz w:val="24"/>
          <w:szCs w:val="24"/>
        </w:rPr>
        <w:t>Бережливого производства</w:t>
      </w:r>
      <w:r w:rsidR="007D25AA" w:rsidRPr="00302F69">
        <w:rPr>
          <w:rFonts w:ascii="Times New Roman" w:eastAsia="Calibri" w:hAnsi="Times New Roman" w:cs="Times New Roman"/>
          <w:sz w:val="24"/>
          <w:szCs w:val="24"/>
        </w:rPr>
        <w:t>»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путем внедрения цифровых технологий, автоматизированных информационных систем управления образовательными организациями;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повышения квалификации сотрудников, а также подведомственных учреждений, развитие лидерского потенциала руководителей;</w:t>
      </w:r>
    </w:p>
    <w:p w:rsidR="00816D31" w:rsidRPr="00302F69" w:rsidRDefault="00816D31" w:rsidP="00816D3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снижения административных барьеров для субъектов малого и среднего предпринимательства.</w:t>
      </w:r>
    </w:p>
    <w:p w:rsidR="00B07D4F" w:rsidRPr="00302F69" w:rsidRDefault="00E60A1F" w:rsidP="00085764">
      <w:pPr>
        <w:autoSpaceDE w:val="0"/>
        <w:autoSpaceDN w:val="0"/>
        <w:spacing w:before="24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Раздел 2</w:t>
      </w:r>
      <w:r w:rsidR="005438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02F69">
        <w:rPr>
          <w:rFonts w:ascii="Times New Roman" w:eastAsia="Calibri" w:hAnsi="Times New Roman" w:cs="Times New Roman"/>
          <w:sz w:val="24"/>
          <w:szCs w:val="24"/>
        </w:rPr>
        <w:t>Характеристика основных мероприятий муниципальной программы</w:t>
      </w:r>
    </w:p>
    <w:p w:rsidR="00B07D4F" w:rsidRPr="00302F69" w:rsidRDefault="00B07D4F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На реализацию целей и задач муниципальной программы направлены </w:t>
      </w:r>
      <w:r w:rsidR="00543897">
        <w:rPr>
          <w:rFonts w:ascii="Times New Roman" w:eastAsia="Calibri" w:hAnsi="Times New Roman" w:cs="Times New Roman"/>
          <w:sz w:val="24"/>
          <w:szCs w:val="24"/>
        </w:rPr>
        <w:t>11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основных программных мероприятий, отражающие актуальные и перспективные направления образовательной политики</w:t>
      </w:r>
      <w:r w:rsidR="00562232" w:rsidRPr="00302F69">
        <w:rPr>
          <w:rFonts w:ascii="Times New Roman" w:eastAsia="Calibri" w:hAnsi="Times New Roman" w:cs="Times New Roman"/>
          <w:sz w:val="24"/>
          <w:szCs w:val="24"/>
        </w:rPr>
        <w:t>, в целях достижения показателей, в том числе установленных в Указах Президента Российской Федерации:</w:t>
      </w:r>
    </w:p>
    <w:p w:rsidR="005F48EA" w:rsidRDefault="00B07D4F" w:rsidP="005F48E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Мероприятие 1 «Развитие системы дошкольного и общего образования»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на</w:t>
      </w:r>
      <w:r w:rsidR="004C29F3">
        <w:rPr>
          <w:rFonts w:ascii="Times New Roman" w:eastAsia="Calibri" w:hAnsi="Times New Roman" w:cs="Times New Roman"/>
          <w:sz w:val="24"/>
          <w:szCs w:val="24"/>
        </w:rPr>
        <w:t>:</w:t>
      </w:r>
      <w:r w:rsidR="005F48EA">
        <w:rPr>
          <w:rFonts w:ascii="Times New Roman" w:eastAsia="Calibri" w:hAnsi="Times New Roman" w:cs="Times New Roman"/>
          <w:sz w:val="24"/>
          <w:szCs w:val="24"/>
        </w:rPr>
        <w:t xml:space="preserve"> реализацию регионального проекта </w:t>
      </w:r>
      <w:r w:rsidR="005F48EA" w:rsidRPr="005F48EA">
        <w:rPr>
          <w:rFonts w:ascii="Times New Roman" w:eastAsia="Calibri" w:hAnsi="Times New Roman" w:cs="Times New Roman"/>
          <w:sz w:val="24"/>
          <w:szCs w:val="24"/>
        </w:rPr>
        <w:t>«</w:t>
      </w:r>
      <w:r w:rsidR="004C29F3">
        <w:rPr>
          <w:rFonts w:ascii="Times New Roman" w:eastAsia="Calibri" w:hAnsi="Times New Roman" w:cs="Times New Roman"/>
          <w:sz w:val="24"/>
          <w:szCs w:val="24"/>
        </w:rPr>
        <w:t>Поддержка семей, имеющих детей</w:t>
      </w:r>
      <w:r w:rsidR="005F48EA" w:rsidRPr="005F48EA">
        <w:rPr>
          <w:rFonts w:ascii="Times New Roman" w:eastAsia="Calibri" w:hAnsi="Times New Roman" w:cs="Times New Roman"/>
          <w:sz w:val="24"/>
          <w:szCs w:val="24"/>
        </w:rPr>
        <w:t>»</w:t>
      </w:r>
      <w:r w:rsidR="005F48EA">
        <w:rPr>
          <w:rFonts w:ascii="Times New Roman" w:eastAsia="Calibri" w:hAnsi="Times New Roman" w:cs="Times New Roman"/>
          <w:sz w:val="24"/>
          <w:szCs w:val="24"/>
        </w:rPr>
        <w:t xml:space="preserve"> в части:</w:t>
      </w:r>
    </w:p>
    <w:p w:rsidR="00106952" w:rsidRPr="00302F69" w:rsidRDefault="007F289A" w:rsidP="005F48E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>оздание условий для раннего развития детей в возрасте до трех лет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6952" w:rsidRPr="00302F69" w:rsidRDefault="007F289A" w:rsidP="0010695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оздание </w:t>
      </w:r>
      <w:r w:rsidRPr="00302F69">
        <w:rPr>
          <w:rFonts w:ascii="Times New Roman" w:eastAsia="Calibri" w:hAnsi="Times New Roman" w:cs="Times New Roman"/>
          <w:sz w:val="24"/>
          <w:szCs w:val="24"/>
        </w:rPr>
        <w:t>психолого-педагогических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 xml:space="preserve"> центров, обеспечивающих консультационно-диагностическую, информационно-просветительскую поддержку родителей детей, не посещающих образовательные организации</w:t>
      </w:r>
      <w:r w:rsidR="000D43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6952" w:rsidRPr="00302F69" w:rsidRDefault="007F289A" w:rsidP="0010695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</w:t>
      </w:r>
      <w:r w:rsidR="00106952" w:rsidRPr="00302F69">
        <w:rPr>
          <w:rFonts w:ascii="Times New Roman" w:eastAsia="Calibri" w:hAnsi="Times New Roman" w:cs="Times New Roman"/>
          <w:sz w:val="24"/>
          <w:szCs w:val="24"/>
        </w:rPr>
        <w:t>сихолого-педагогическое консультирование обучающихся, их родителей и педагогических работников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29F3" w:rsidRDefault="004C29F3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9F3" w:rsidRDefault="004C29F3" w:rsidP="004C29F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реализацию регионального проекта «Ц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ифров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сред</w:t>
      </w:r>
      <w:r>
        <w:rPr>
          <w:rFonts w:ascii="Times New Roman" w:eastAsia="Calibri" w:hAnsi="Times New Roman" w:cs="Times New Roman"/>
          <w:sz w:val="24"/>
          <w:szCs w:val="24"/>
        </w:rPr>
        <w:t>а» в части: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289A" w:rsidRPr="00302F69" w:rsidRDefault="004C29F3" w:rsidP="004C29F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хождени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в единую информационно-сервисную платформу с сегментом для размещения открытых данных в машиночитаемом формате;</w:t>
      </w:r>
    </w:p>
    <w:p w:rsidR="007F289A" w:rsidRPr="00302F69" w:rsidRDefault="007F289A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дистанционного обучения</w:t>
      </w:r>
      <w:r w:rsidR="004C29F3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образовательных платформ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2FA7" w:rsidRDefault="00D52FA7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 xml:space="preserve"> регионального проекта «</w:t>
      </w:r>
      <w:r w:rsidR="004C29F3">
        <w:rPr>
          <w:rFonts w:ascii="Times New Roman" w:eastAsia="Calibri" w:hAnsi="Times New Roman" w:cs="Times New Roman"/>
          <w:sz w:val="24"/>
          <w:szCs w:val="24"/>
        </w:rPr>
        <w:t>Учитель будущего</w:t>
      </w:r>
      <w:r w:rsidR="004C29F3" w:rsidRPr="004C29F3">
        <w:rPr>
          <w:rFonts w:ascii="Times New Roman" w:eastAsia="Calibri" w:hAnsi="Times New Roman" w:cs="Times New Roman"/>
          <w:sz w:val="24"/>
          <w:szCs w:val="24"/>
        </w:rPr>
        <w:t xml:space="preserve">» в части: </w:t>
      </w:r>
    </w:p>
    <w:p w:rsidR="007F289A" w:rsidRPr="00302F69" w:rsidRDefault="00562232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овышение квалификации педагогических кадров и административно-управленческого персонала с учетом федеральных государственных образовательных стандартов дошкольного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и общего 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89A" w:rsidRPr="00302F69" w:rsidRDefault="00562232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 семинаров по обучению педагогов методам реализации эффективных образовательных технологий</w:t>
      </w:r>
      <w:r w:rsidRPr="00302F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89A" w:rsidRPr="00302F69" w:rsidRDefault="004C29F3" w:rsidP="007F289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232" w:rsidRPr="00302F69">
        <w:rPr>
          <w:rFonts w:ascii="Times New Roman" w:eastAsia="Calibri" w:hAnsi="Times New Roman" w:cs="Times New Roman"/>
          <w:sz w:val="24"/>
          <w:szCs w:val="24"/>
        </w:rPr>
        <w:t>а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>ттестаци</w:t>
      </w:r>
      <w:r w:rsidR="00D52FA7">
        <w:rPr>
          <w:rFonts w:ascii="Times New Roman" w:eastAsia="Calibri" w:hAnsi="Times New Roman" w:cs="Times New Roman"/>
          <w:sz w:val="24"/>
          <w:szCs w:val="24"/>
        </w:rPr>
        <w:t>я</w:t>
      </w:r>
      <w:r w:rsidR="007F289A" w:rsidRPr="00302F69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образовательных организаций.</w:t>
      </w:r>
    </w:p>
    <w:p w:rsidR="00562232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использование потенциала сети Интернет и технологий дистанционного образования для решения задач поддержки молодых талантов и детей с высоким уровнем мотивации к обучению; </w:t>
      </w:r>
    </w:p>
    <w:p w:rsidR="00562232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содержание зданий образовательных учреждений;</w:t>
      </w:r>
    </w:p>
    <w:p w:rsidR="0040782F" w:rsidRPr="00302F69" w:rsidRDefault="0040782F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на обеспечение питанием учащихся в муниципальных и частных общеобразовательных организациях;</w:t>
      </w:r>
    </w:p>
    <w:p w:rsidR="0040782F" w:rsidRPr="00302F69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обеспечение социальных гарантий, в том числе на компенсацию стоимости питания </w:t>
      </w:r>
      <w:r w:rsidR="0040782F" w:rsidRPr="00302F69">
        <w:rPr>
          <w:rFonts w:ascii="Times New Roman" w:eastAsia="Calibri" w:hAnsi="Times New Roman" w:cs="Times New Roman"/>
          <w:sz w:val="24"/>
          <w:szCs w:val="24"/>
        </w:rPr>
        <w:t xml:space="preserve">отдельным категориям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учащихся в общеобразовательных учреждениях; </w:t>
      </w:r>
    </w:p>
    <w:p w:rsidR="00562232" w:rsidRDefault="00562232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повышение заработной платы работникам учреждений дополнительного образования. </w:t>
      </w:r>
    </w:p>
    <w:p w:rsidR="000664DA" w:rsidRDefault="000664DA" w:rsidP="0056223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0664DA">
        <w:rPr>
          <w:rFonts w:ascii="Times New Roman" w:eastAsia="Calibri" w:hAnsi="Times New Roman" w:cs="Times New Roman"/>
          <w:sz w:val="24"/>
          <w:szCs w:val="24"/>
        </w:rPr>
        <w:t>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 направлено на</w:t>
      </w:r>
      <w:r w:rsidR="004C29F3">
        <w:rPr>
          <w:rFonts w:ascii="Times New Roman" w:eastAsia="Calibri" w:hAnsi="Times New Roman" w:cs="Times New Roman"/>
          <w:sz w:val="24"/>
          <w:szCs w:val="24"/>
        </w:rPr>
        <w:t xml:space="preserve"> реализацию регионального проекта «Успех каждого ребенка» в части: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обеспечени</w:t>
      </w:r>
      <w:r w:rsidR="004C29F3">
        <w:rPr>
          <w:rFonts w:ascii="Times New Roman" w:eastAsia="Calibri" w:hAnsi="Times New Roman" w:cs="Times New Roman"/>
          <w:sz w:val="24"/>
          <w:szCs w:val="24"/>
        </w:rPr>
        <w:t>я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функционирования сертификата дополнительного образования и реализация муниципальной модели системы ПФДО;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предоставления дополнительного образования детей в муниципальных образовательных организациях;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поддержк</w:t>
      </w:r>
      <w:r w:rsidR="004C29F3">
        <w:rPr>
          <w:rFonts w:ascii="Times New Roman" w:eastAsia="Calibri" w:hAnsi="Times New Roman" w:cs="Times New Roman"/>
          <w:sz w:val="24"/>
          <w:szCs w:val="24"/>
        </w:rPr>
        <w:t>и</w:t>
      </w: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 w:rsidRPr="000664D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реализацию муниципальной модели выявления и сопровождения детей, проявляющих выдающиеся способности;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реализация комплекса мер по ранней профессиональной ориентации, раннему самоопределению, в том числе через систему дополнительного образования</w:t>
      </w:r>
      <w:r w:rsidR="004C29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финансовое обеспечение, методическое и информационное сопровождение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0664DA" w:rsidRP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участие в региональном конкурсе «Ученик года», в Научной сессии старшеклассников;</w:t>
      </w:r>
    </w:p>
    <w:p w:rsid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проведение мероприятий по профилактике правонарушений, дорожно-транспортного травматизма, потребления 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0664DA">
        <w:rPr>
          <w:rFonts w:ascii="Times New Roman" w:eastAsia="Calibri" w:hAnsi="Times New Roman" w:cs="Times New Roman"/>
          <w:sz w:val="24"/>
          <w:szCs w:val="24"/>
        </w:rPr>
        <w:t xml:space="preserve"> веществ, алкоголя, </w:t>
      </w:r>
      <w:proofErr w:type="spellStart"/>
      <w:r w:rsidRPr="000664DA">
        <w:rPr>
          <w:rFonts w:ascii="Times New Roman" w:eastAsia="Calibri" w:hAnsi="Times New Roman" w:cs="Times New Roman"/>
          <w:sz w:val="24"/>
          <w:szCs w:val="24"/>
        </w:rPr>
        <w:t>табакокурения</w:t>
      </w:r>
      <w:proofErr w:type="spellEnd"/>
      <w:r w:rsidR="000D43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64DA" w:rsidRPr="00302F69" w:rsidRDefault="000664DA" w:rsidP="000664DA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4DA">
        <w:rPr>
          <w:rFonts w:ascii="Times New Roman" w:eastAsia="Calibri" w:hAnsi="Times New Roman" w:cs="Times New Roman"/>
          <w:sz w:val="24"/>
          <w:szCs w:val="24"/>
        </w:rPr>
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64DA" w:rsidRPr="00302F69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проведение муниципальных конкурсов «Педагог года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»</w:t>
      </w:r>
      <w:r w:rsidR="00ED1124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конкурсного отбора молодых специалистов на получение премии главы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«Признание»</w:t>
      </w:r>
      <w:r w:rsidR="00ED112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64DA" w:rsidRPr="00302F69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региональных конкурсах профессионального мастерства педагогов, конкурс</w:t>
      </w:r>
      <w:r w:rsidR="00D52FA7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лучших образовательных организаций;</w:t>
      </w:r>
    </w:p>
    <w:p w:rsidR="000664DA" w:rsidRDefault="000664DA" w:rsidP="000664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конференциях, семинарах и других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:rsidR="00ED1124" w:rsidRDefault="00ED1124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1124" w:rsidRDefault="00ED1124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7D4F" w:rsidRPr="00302F69" w:rsidRDefault="00B07D4F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4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«Развитие системы оценки качества образования»</w:t>
      </w:r>
      <w:r w:rsidR="00332714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332714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332714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формирование и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проведения комплексного мониторинга доступности услуг общего и дополнительного образования и удовлетворенности граждан их качеством, включая регулярные опросы населения;</w:t>
      </w:r>
    </w:p>
    <w:p w:rsidR="00292411" w:rsidRPr="00302F69" w:rsidRDefault="00292411" w:rsidP="00292411">
      <w:pPr>
        <w:tabs>
          <w:tab w:val="left" w:pos="9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и проведение единого государственного экзамена, государственной итоговой аттестации.</w:t>
      </w:r>
    </w:p>
    <w:p w:rsidR="00B07D4F" w:rsidRPr="00302F69" w:rsidRDefault="00B07D4F" w:rsidP="0019620E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5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«Обеспечение информационной открытости муниципальной системы образования»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обеспечение информационной открытости системы образования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, с целью предоставления необходимого объема информации всем участникам образовательного процесса (родителям, детям, педагогической общественности, заинтересованному населению города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информационное сопровождение всероссийской олимпиады школьников по выявлению и поддержке талантливых детей;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администрирование сайта Управления образования</w:t>
      </w:r>
      <w:r w:rsidR="000D4393">
        <w:rPr>
          <w:rFonts w:ascii="Times New Roman" w:eastAsia="Calibri" w:hAnsi="Times New Roman" w:cs="Times New Roman"/>
          <w:sz w:val="24"/>
          <w:szCs w:val="24"/>
        </w:rPr>
        <w:t>,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информационное сопровождение мероприятий муниципальной программы.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6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«Финансовое и организационно-методическое обеспечение функционирования и модернизации муниципальной системы образования»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финансирование деятельности подведомственных организаций сопровождающих материально-техническую, информационно-методическую и финансово-хозяйственную деятельность муниципальной системы образования. Обеспечение финансирования программных мероприятий, обеспечение методической и технической поддержки, функционирования и модернизации образования; 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обеспечение деятельности органа местного самоуправления в сфере образования;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информационно-технических мероприятий при проведен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кционов и закупок;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реализацию мероприятий по исполнению публичных обязательств перед физическими лицами в муниципальных образовательных организациях и обеспечивающих материальную поддержку воспитания и обучения учащихся и воспитанников в дошкольных образовательных организациях, общеобразовательных организациях, частных общеобразовательных организациях, частных организациях, осуществляющих образовательную деятельность по реализации образовательных программ дошкольного образования, расположенных в городе 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7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«Обеспечение комплексной безопасности образовательных организаций»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соблюдение обязательных требований санитарно-эпидемиологической, пожарной, антитеррористической безопасности;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разработку и широкое внедрение в образовательных организациях энергосберегающих технологий;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обеспечение комплексной безопасности и комфортных условий образовательного процесса; </w:t>
      </w:r>
    </w:p>
    <w:p w:rsidR="000664DA" w:rsidRDefault="0073649F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текущих ремонтов</w:t>
      </w:r>
      <w:r w:rsidR="000664DA">
        <w:rPr>
          <w:rFonts w:ascii="Times New Roman" w:eastAsia="Calibri" w:hAnsi="Times New Roman" w:cs="Times New Roman"/>
          <w:sz w:val="24"/>
          <w:szCs w:val="24"/>
        </w:rPr>
        <w:t>, обустройство площадок ТКО и т.д.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8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«Развитие материально-технической базы образовательных организаций»</w:t>
      </w:r>
      <w:r w:rsidR="00292411" w:rsidRPr="00302F69">
        <w:t xml:space="preserve"> 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оснащение материально-технической базы, приведение в соответствие с современными требованиями оснащения организаций дошкольного образования: оснащение предметно-пространственной среды, приобретение развивающего, игрового и интерактивного оборудования; приобретение программного обеспечения;</w:t>
      </w:r>
    </w:p>
    <w:p w:rsidR="00292411" w:rsidRPr="00302F69" w:rsidRDefault="00292411" w:rsidP="0029241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lastRenderedPageBreak/>
        <w:t>приведение в соответствие с современными требованиями оснащения общеобразовательных организаций: приобретение компьютерной техники</w:t>
      </w:r>
      <w:r w:rsidR="00C3144F">
        <w:rPr>
          <w:rFonts w:ascii="Times New Roman" w:eastAsia="Calibri" w:hAnsi="Times New Roman" w:cs="Times New Roman"/>
          <w:sz w:val="24"/>
          <w:szCs w:val="24"/>
        </w:rPr>
        <w:t>;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лабораторного оборудования</w:t>
      </w:r>
      <w:r w:rsidR="00C3144F">
        <w:rPr>
          <w:rFonts w:ascii="Times New Roman" w:eastAsia="Calibri" w:hAnsi="Times New Roman" w:cs="Times New Roman"/>
          <w:sz w:val="24"/>
          <w:szCs w:val="24"/>
        </w:rPr>
        <w:t>;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программного обеспечения</w:t>
      </w:r>
      <w:r w:rsidR="00C3144F">
        <w:rPr>
          <w:rFonts w:ascii="Times New Roman" w:eastAsia="Calibri" w:hAnsi="Times New Roman" w:cs="Times New Roman"/>
          <w:sz w:val="24"/>
          <w:szCs w:val="24"/>
        </w:rPr>
        <w:t>;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школьных технопарков; закупк</w:t>
      </w:r>
      <w:r w:rsidR="00C3144F">
        <w:rPr>
          <w:rFonts w:ascii="Times New Roman" w:eastAsia="Calibri" w:hAnsi="Times New Roman" w:cs="Times New Roman"/>
          <w:sz w:val="24"/>
          <w:szCs w:val="24"/>
        </w:rPr>
        <w:t>а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развивающего и игрового оборудования.</w:t>
      </w:r>
    </w:p>
    <w:p w:rsidR="00B07D4F" w:rsidRPr="00302F69" w:rsidRDefault="00B07D4F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0664DA">
        <w:rPr>
          <w:rFonts w:ascii="Times New Roman" w:eastAsia="Calibri" w:hAnsi="Times New Roman" w:cs="Times New Roman"/>
          <w:sz w:val="24"/>
          <w:szCs w:val="24"/>
        </w:rPr>
        <w:t>9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4DA" w:rsidRPr="000664DA">
        <w:rPr>
          <w:rFonts w:ascii="Times New Roman" w:eastAsia="Calibri" w:hAnsi="Times New Roman" w:cs="Times New Roman"/>
          <w:sz w:val="24"/>
          <w:szCs w:val="24"/>
        </w:rPr>
        <w:t>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</w:r>
      <w:r w:rsidR="00D54EB5">
        <w:rPr>
          <w:rFonts w:ascii="Times New Roman" w:eastAsia="Calibri" w:hAnsi="Times New Roman" w:cs="Times New Roman"/>
          <w:sz w:val="24"/>
          <w:szCs w:val="24"/>
        </w:rPr>
        <w:t>,</w:t>
      </w:r>
      <w:r w:rsidR="00066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292411"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5764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64EA5">
        <w:rPr>
          <w:rFonts w:ascii="Times New Roman" w:eastAsia="Calibri" w:hAnsi="Times New Roman" w:cs="Times New Roman"/>
          <w:sz w:val="24"/>
          <w:szCs w:val="24"/>
        </w:rPr>
        <w:t>роектирование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64">
        <w:rPr>
          <w:rFonts w:ascii="Times New Roman" w:eastAsia="Calibri" w:hAnsi="Times New Roman" w:cs="Times New Roman"/>
          <w:sz w:val="24"/>
          <w:szCs w:val="24"/>
        </w:rPr>
        <w:t>и р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>азработк</w:t>
      </w:r>
      <w:r w:rsidR="00085764">
        <w:rPr>
          <w:rFonts w:ascii="Times New Roman" w:eastAsia="Calibri" w:hAnsi="Times New Roman" w:cs="Times New Roman"/>
          <w:sz w:val="24"/>
          <w:szCs w:val="24"/>
        </w:rPr>
        <w:t>у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 xml:space="preserve"> проектной документации на выполнение работ по ремонту кровли</w:t>
      </w:r>
      <w:r w:rsidR="000857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92411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капитальный ремонт</w:t>
      </w:r>
      <w:r w:rsidR="00292411" w:rsidRPr="00302F69">
        <w:rPr>
          <w:rFonts w:ascii="Times New Roman" w:eastAsia="Calibri" w:hAnsi="Times New Roman" w:cs="Times New Roman"/>
          <w:sz w:val="24"/>
          <w:szCs w:val="24"/>
        </w:rPr>
        <w:t xml:space="preserve"> зданий образовательных организаций</w:t>
      </w:r>
      <w:r w:rsidR="00085764">
        <w:rPr>
          <w:rFonts w:ascii="Times New Roman" w:eastAsia="Calibri" w:hAnsi="Times New Roman" w:cs="Times New Roman"/>
          <w:sz w:val="24"/>
          <w:szCs w:val="24"/>
        </w:rPr>
        <w:t>, в том числе р</w:t>
      </w:r>
      <w:r w:rsidR="00085764" w:rsidRPr="00085764">
        <w:rPr>
          <w:rFonts w:ascii="Times New Roman" w:eastAsia="Calibri" w:hAnsi="Times New Roman" w:cs="Times New Roman"/>
          <w:sz w:val="24"/>
          <w:szCs w:val="24"/>
        </w:rPr>
        <w:t>емонт кровли</w:t>
      </w:r>
      <w:r w:rsidR="00085764">
        <w:rPr>
          <w:rFonts w:ascii="Times New Roman" w:eastAsia="Calibri" w:hAnsi="Times New Roman" w:cs="Times New Roman"/>
          <w:sz w:val="24"/>
          <w:szCs w:val="24"/>
        </w:rPr>
        <w:t xml:space="preserve">, замену оконных блоков, </w:t>
      </w:r>
      <w:r w:rsidR="0073649F">
        <w:rPr>
          <w:rFonts w:ascii="Times New Roman" w:eastAsia="Calibri" w:hAnsi="Times New Roman" w:cs="Times New Roman"/>
          <w:sz w:val="24"/>
          <w:szCs w:val="24"/>
        </w:rPr>
        <w:t>устройство ограждений отопительных приборов в спортивных залах и т. д.</w:t>
      </w:r>
    </w:p>
    <w:p w:rsidR="00D64EA5" w:rsidRDefault="00D64EA5" w:rsidP="00D64EA5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Мероприятие 1</w:t>
      </w:r>
      <w:r w:rsidR="00ED1124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124">
        <w:rPr>
          <w:rFonts w:ascii="Times New Roman" w:eastAsia="Calibri" w:hAnsi="Times New Roman" w:cs="Times New Roman"/>
          <w:sz w:val="24"/>
          <w:szCs w:val="24"/>
        </w:rPr>
        <w:t>«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="00D54EB5" w:rsidRPr="00D54EB5">
        <w:rPr>
          <w:rFonts w:ascii="Times New Roman" w:eastAsia="Calibri" w:hAnsi="Times New Roman" w:cs="Times New Roman"/>
          <w:sz w:val="24"/>
          <w:szCs w:val="24"/>
        </w:rPr>
        <w:t>в реализации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региональн</w:t>
      </w:r>
      <w:r w:rsidR="00D54EB5">
        <w:rPr>
          <w:rFonts w:ascii="Times New Roman" w:eastAsia="Calibri" w:hAnsi="Times New Roman" w:cs="Times New Roman"/>
          <w:sz w:val="24"/>
          <w:szCs w:val="24"/>
        </w:rPr>
        <w:t>ого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D54EB5">
        <w:rPr>
          <w:rFonts w:ascii="Times New Roman" w:eastAsia="Calibri" w:hAnsi="Times New Roman" w:cs="Times New Roman"/>
          <w:sz w:val="24"/>
          <w:szCs w:val="24"/>
        </w:rPr>
        <w:t>а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 «Современная школа»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D1124" w:rsidRPr="00ED1124" w:rsidRDefault="00ED1124" w:rsidP="00ED112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124">
        <w:rPr>
          <w:rFonts w:ascii="Times New Roman" w:eastAsia="Calibri" w:hAnsi="Times New Roman" w:cs="Times New Roman"/>
          <w:sz w:val="24"/>
          <w:szCs w:val="24"/>
        </w:rPr>
        <w:t>создание Центра образования цифрового и гуманитарного профилей «Точка роста»;</w:t>
      </w:r>
    </w:p>
    <w:p w:rsidR="00ED1124" w:rsidRDefault="00ED1124" w:rsidP="00ED112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124">
        <w:rPr>
          <w:rFonts w:ascii="Times New Roman" w:eastAsia="Calibri" w:hAnsi="Times New Roman" w:cs="Times New Roman"/>
          <w:sz w:val="24"/>
          <w:szCs w:val="24"/>
        </w:rPr>
        <w:t>изготовление брендовой продукции для Центра образования цифрового и гуманитарного профилей «Точка роста»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64EA5" w:rsidRDefault="00D64EA5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64EA5">
        <w:rPr>
          <w:rFonts w:ascii="Times New Roman" w:eastAsia="Calibri" w:hAnsi="Times New Roman" w:cs="Times New Roman"/>
          <w:sz w:val="24"/>
          <w:szCs w:val="24"/>
        </w:rPr>
        <w:t xml:space="preserve">риобретение объектов недвижимого имущества для размещения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новых </w:t>
      </w:r>
      <w:r w:rsidRPr="00D64EA5">
        <w:rPr>
          <w:rFonts w:ascii="Times New Roman" w:eastAsia="Calibri" w:hAnsi="Times New Roman" w:cs="Times New Roman"/>
          <w:sz w:val="24"/>
          <w:szCs w:val="24"/>
        </w:rPr>
        <w:t>дошкольных и (или) общеобразовательных организаций.</w:t>
      </w:r>
    </w:p>
    <w:p w:rsidR="00D52FA7" w:rsidRDefault="00D52FA7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ED1124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E4">
        <w:rPr>
          <w:rFonts w:ascii="Times New Roman" w:eastAsia="Calibri" w:hAnsi="Times New Roman" w:cs="Times New Roman"/>
          <w:sz w:val="24"/>
          <w:szCs w:val="24"/>
        </w:rPr>
        <w:t>«Участие в региональном проекте «</w:t>
      </w:r>
      <w:r>
        <w:rPr>
          <w:rFonts w:ascii="Times New Roman" w:eastAsia="Calibri" w:hAnsi="Times New Roman" w:cs="Times New Roman"/>
          <w:sz w:val="24"/>
          <w:szCs w:val="24"/>
        </w:rPr>
        <w:t>Успех каждого ребенка</w:t>
      </w:r>
      <w:r w:rsidRPr="00C202E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обеспечение функционирования сертификата дополнительного образования и реализация муниципальной модели системы ПФДО;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организацию предоставления дополнительного образования детей в муниципальных образовательных организациях;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поддержку негосударственных организаций, реализующих дополнительные общеобразовательные программы, и развитие детского технопарка «</w:t>
      </w:r>
      <w:proofErr w:type="spellStart"/>
      <w:r w:rsidRPr="00302F69"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 w:rsidRPr="00302F6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реализацию муниципальной модели выявления и сопровождения детей, проявляющих выдающиеся способности;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реализация комплекса мер по ранней профессиональной ориентации, раннему самоопределению, в том числе через систему дополнительного образования;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финансовое обеспечение, методическое и информационное сопровождение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– предоставление денежного поощрения победителям и призерам всероссийской олимпиады школьников;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региональном конкурсе «Ученик года», в Научной сессии старшеклассников</w:t>
      </w:r>
      <w:r w:rsidR="00ED1124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EB681C" w:rsidRPr="00302F69" w:rsidRDefault="00EB681C" w:rsidP="00EB681C">
      <w:pPr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ED1124">
        <w:rPr>
          <w:rFonts w:ascii="Times New Roman" w:eastAsia="Calibri" w:hAnsi="Times New Roman" w:cs="Times New Roman"/>
          <w:sz w:val="24"/>
          <w:szCs w:val="24"/>
        </w:rPr>
        <w:t>12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E4">
        <w:rPr>
          <w:rFonts w:ascii="Times New Roman" w:eastAsia="Calibri" w:hAnsi="Times New Roman" w:cs="Times New Roman"/>
          <w:sz w:val="24"/>
          <w:szCs w:val="24"/>
        </w:rPr>
        <w:t>«Участие в региональном проекте «</w:t>
      </w:r>
      <w:r>
        <w:rPr>
          <w:rFonts w:ascii="Times New Roman" w:eastAsia="Calibri" w:hAnsi="Times New Roman" w:cs="Times New Roman"/>
          <w:sz w:val="24"/>
          <w:szCs w:val="24"/>
        </w:rPr>
        <w:t>Учитель будущего</w:t>
      </w:r>
      <w:r w:rsidRPr="00C202E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направлено </w:t>
      </w:r>
      <w:proofErr w:type="gramStart"/>
      <w:r w:rsidRPr="00302F6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02F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B681C" w:rsidRPr="00302F69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региональных конкурсах профессионального мастерства педагогов, конкурс</w:t>
      </w:r>
      <w:r w:rsidR="00D52FA7">
        <w:rPr>
          <w:rFonts w:ascii="Times New Roman" w:eastAsia="Calibri" w:hAnsi="Times New Roman" w:cs="Times New Roman"/>
          <w:sz w:val="24"/>
          <w:szCs w:val="24"/>
        </w:rPr>
        <w:t>е</w:t>
      </w:r>
      <w:r w:rsidRPr="00302F69">
        <w:rPr>
          <w:rFonts w:ascii="Times New Roman" w:eastAsia="Calibri" w:hAnsi="Times New Roman" w:cs="Times New Roman"/>
          <w:sz w:val="24"/>
          <w:szCs w:val="24"/>
        </w:rPr>
        <w:t xml:space="preserve"> лучших образовательных организаций;</w:t>
      </w:r>
    </w:p>
    <w:p w:rsidR="00EB681C" w:rsidRDefault="00EB681C" w:rsidP="00EB681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F69">
        <w:rPr>
          <w:rFonts w:ascii="Times New Roman" w:eastAsia="Calibri" w:hAnsi="Times New Roman" w:cs="Times New Roman"/>
          <w:sz w:val="24"/>
          <w:szCs w:val="24"/>
        </w:rPr>
        <w:t>участие в конференциях, семинарах и других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:rsidR="00EB681C" w:rsidRPr="00B07D4F" w:rsidRDefault="00EB681C" w:rsidP="00B07D4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BA7" w:rsidRDefault="00740BA7" w:rsidP="00740BA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740BA7" w:rsidRDefault="00740BA7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="00E60A1F">
        <w:rPr>
          <w:rFonts w:ascii="Times New Roman" w:eastAsia="Calibri" w:hAnsi="Times New Roman" w:cs="Times New Roman"/>
          <w:sz w:val="24"/>
          <w:szCs w:val="24"/>
        </w:rPr>
        <w:t>3</w:t>
      </w:r>
      <w:r w:rsidR="0036307E">
        <w:rPr>
          <w:rFonts w:ascii="Times New Roman" w:eastAsia="Calibri" w:hAnsi="Times New Roman" w:cs="Times New Roman"/>
          <w:sz w:val="24"/>
          <w:szCs w:val="24"/>
        </w:rPr>
        <w:t>.</w:t>
      </w:r>
      <w:r w:rsidR="00E60A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</w:t>
      </w:r>
    </w:p>
    <w:p w:rsidR="004A266B" w:rsidRPr="005717DE" w:rsidRDefault="004A266B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40BA7" w:rsidRPr="005717DE" w:rsidRDefault="00202B24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Муниципальная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программа реализуется совместными усилиями ответственног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о исполнителя, соисполнителей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. Ответственный исполнитель </w:t>
      </w:r>
      <w:r w:rsidR="003702D7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осуществляет текущее управление реализацией </w:t>
      </w:r>
      <w:r w:rsidR="00251761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обладает правом вносить предложения об изменении объемов финансовых средств, направляемых на решение отдельных задач </w:t>
      </w:r>
      <w:r w:rsidR="00251761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251761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>программы.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lastRenderedPageBreak/>
        <w:t>Должностн</w:t>
      </w:r>
      <w:r w:rsidR="002C023E">
        <w:rPr>
          <w:rFonts w:ascii="Times New Roman" w:eastAsia="Calibri" w:hAnsi="Times New Roman" w:cs="Times New Roman"/>
          <w:sz w:val="24"/>
          <w:szCs w:val="24"/>
        </w:rPr>
        <w:t>о</w:t>
      </w:r>
      <w:r w:rsidRPr="005717DE">
        <w:rPr>
          <w:rFonts w:ascii="Times New Roman" w:eastAsia="Calibri" w:hAnsi="Times New Roman" w:cs="Times New Roman"/>
          <w:sz w:val="24"/>
          <w:szCs w:val="24"/>
        </w:rPr>
        <w:t>е лиц</w:t>
      </w:r>
      <w:r w:rsidR="002C023E">
        <w:rPr>
          <w:rFonts w:ascii="Times New Roman" w:eastAsia="Calibri" w:hAnsi="Times New Roman" w:cs="Times New Roman"/>
          <w:sz w:val="24"/>
          <w:szCs w:val="24"/>
        </w:rPr>
        <w:t>о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D1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816A62" w:rsidRPr="005717DE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856BA7">
        <w:rPr>
          <w:rFonts w:ascii="Times New Roman" w:eastAsia="Calibri" w:hAnsi="Times New Roman" w:cs="Times New Roman"/>
          <w:sz w:val="24"/>
          <w:szCs w:val="24"/>
        </w:rPr>
        <w:t xml:space="preserve">, руководитель 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образования администрации города </w:t>
      </w:r>
      <w:proofErr w:type="spellStart"/>
      <w:r w:rsidR="006556D4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6556D4">
        <w:rPr>
          <w:rFonts w:ascii="Times New Roman" w:eastAsia="Calibri" w:hAnsi="Times New Roman" w:cs="Times New Roman"/>
          <w:sz w:val="24"/>
          <w:szCs w:val="24"/>
        </w:rPr>
        <w:t xml:space="preserve"> (далее – Управление образования)</w:t>
      </w:r>
      <w:r w:rsidR="00856BA7" w:rsidRPr="00856BA7">
        <w:rPr>
          <w:rFonts w:ascii="Times New Roman" w:eastAsia="Calibri" w:hAnsi="Times New Roman" w:cs="Times New Roman"/>
          <w:sz w:val="24"/>
          <w:szCs w:val="24"/>
        </w:rPr>
        <w:t xml:space="preserve">, являющегося ответственным исполнителем муниципальной программы, несет предусмотренную законодательством ответственность, в том числе </w:t>
      </w:r>
      <w:proofErr w:type="gramStart"/>
      <w:r w:rsidR="00856BA7" w:rsidRPr="00856BA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достижение целевых показателей муниципальной программы, а также конечных результатов ее реализации;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достижение показателей, предусмотренных соглашениями о предоставлении субсидий из бюджета автономного округа;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несвоевременную и некачественную реализацию муниципальной программы;</w:t>
      </w:r>
    </w:p>
    <w:p w:rsidR="002C023E" w:rsidRPr="002C023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несвоевременное внесение изменений в муниципальную программу;</w:t>
      </w:r>
    </w:p>
    <w:p w:rsidR="00740BA7" w:rsidRPr="005717DE" w:rsidRDefault="002C023E" w:rsidP="002C023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23E">
        <w:rPr>
          <w:rFonts w:ascii="Times New Roman" w:eastAsia="Calibri" w:hAnsi="Times New Roman" w:cs="Times New Roman"/>
          <w:sz w:val="24"/>
          <w:szCs w:val="24"/>
        </w:rPr>
        <w:t>не соблюдение сроков предоставления и качество подготовки отчетов по исполнению муниципальной программы.</w:t>
      </w:r>
    </w:p>
    <w:p w:rsidR="00740BA7" w:rsidRPr="005717DE" w:rsidRDefault="00202B24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2. Механизм реализации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предполагает: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р</w:t>
      </w:r>
      <w:r w:rsidR="00740BA7" w:rsidRPr="00867A84">
        <w:rPr>
          <w:rFonts w:ascii="Times New Roman" w:hAnsi="Times New Roman"/>
          <w:sz w:val="24"/>
          <w:szCs w:val="24"/>
        </w:rPr>
        <w:t xml:space="preserve">азработку и принятие </w:t>
      </w:r>
      <w:r w:rsidR="006556D4">
        <w:rPr>
          <w:rFonts w:ascii="Times New Roman" w:hAnsi="Times New Roman"/>
          <w:sz w:val="24"/>
          <w:szCs w:val="24"/>
        </w:rPr>
        <w:t xml:space="preserve">муниципальных </w:t>
      </w:r>
      <w:r w:rsidR="00740BA7" w:rsidRPr="00867A84">
        <w:rPr>
          <w:rFonts w:ascii="Times New Roman" w:hAnsi="Times New Roman"/>
          <w:sz w:val="24"/>
          <w:szCs w:val="24"/>
        </w:rPr>
        <w:t xml:space="preserve">правовых актов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, необходимых для ее выполнения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о</w:t>
      </w:r>
      <w:r w:rsidR="00740BA7" w:rsidRPr="00867A84">
        <w:rPr>
          <w:rFonts w:ascii="Times New Roman" w:hAnsi="Times New Roman"/>
          <w:sz w:val="24"/>
          <w:szCs w:val="24"/>
        </w:rPr>
        <w:t xml:space="preserve">беспечение управления, эффективного использования средств, выделенных на реализацию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>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ередачу при необходимости части функций по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</w:t>
      </w:r>
      <w:r w:rsidR="005C77BD" w:rsidRPr="00867A84">
        <w:rPr>
          <w:rFonts w:ascii="Times New Roman" w:hAnsi="Times New Roman"/>
          <w:sz w:val="24"/>
          <w:szCs w:val="24"/>
        </w:rPr>
        <w:t xml:space="preserve">муниципальным </w:t>
      </w:r>
      <w:r w:rsidR="00BB6259">
        <w:rPr>
          <w:rFonts w:ascii="Times New Roman" w:hAnsi="Times New Roman"/>
          <w:sz w:val="24"/>
          <w:szCs w:val="24"/>
        </w:rPr>
        <w:t>организациям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 xml:space="preserve"> в случае, если эти функции соответствуют уставу (положению) </w:t>
      </w:r>
      <w:r w:rsidR="005C77BD" w:rsidRPr="00867A84">
        <w:rPr>
          <w:rFonts w:ascii="Times New Roman" w:hAnsi="Times New Roman"/>
          <w:sz w:val="24"/>
          <w:szCs w:val="24"/>
        </w:rPr>
        <w:t>муниципально</w:t>
      </w:r>
      <w:r w:rsidR="00BB6259">
        <w:rPr>
          <w:rFonts w:ascii="Times New Roman" w:hAnsi="Times New Roman"/>
          <w:sz w:val="24"/>
          <w:szCs w:val="24"/>
        </w:rPr>
        <w:t>й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BB6259">
        <w:rPr>
          <w:rFonts w:ascii="Times New Roman" w:hAnsi="Times New Roman"/>
          <w:sz w:val="24"/>
          <w:szCs w:val="24"/>
        </w:rPr>
        <w:t xml:space="preserve">организации </w:t>
      </w:r>
      <w:r w:rsidR="00740BA7" w:rsidRPr="00867A84">
        <w:rPr>
          <w:rFonts w:ascii="Times New Roman" w:hAnsi="Times New Roman"/>
          <w:sz w:val="24"/>
          <w:szCs w:val="24"/>
        </w:rPr>
        <w:t xml:space="preserve">и включены в его </w:t>
      </w:r>
      <w:r w:rsidR="005C77BD" w:rsidRPr="00867A84">
        <w:rPr>
          <w:rFonts w:ascii="Times New Roman" w:hAnsi="Times New Roman"/>
          <w:sz w:val="24"/>
          <w:szCs w:val="24"/>
        </w:rPr>
        <w:t>муниципальное</w:t>
      </w:r>
      <w:r w:rsidR="00740BA7" w:rsidRPr="00867A84">
        <w:rPr>
          <w:rFonts w:ascii="Times New Roman" w:hAnsi="Times New Roman"/>
          <w:sz w:val="24"/>
          <w:szCs w:val="24"/>
        </w:rPr>
        <w:t xml:space="preserve"> задание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B21A49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редоставление отчетов 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программы, в том числе в состав итогов социально-экономического развития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961B6E">
        <w:rPr>
          <w:rFonts w:ascii="Times New Roman" w:hAnsi="Times New Roman"/>
          <w:sz w:val="24"/>
          <w:szCs w:val="24"/>
        </w:rPr>
        <w:t>;</w:t>
      </w:r>
    </w:p>
    <w:p w:rsidR="00961B6E" w:rsidRPr="00867A84" w:rsidRDefault="00961B6E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Соисполнители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несут ответственность за эффективное и целевое использование средств и с целью координации действий до </w:t>
      </w:r>
      <w:r w:rsidR="005C77BD">
        <w:rPr>
          <w:rFonts w:ascii="Times New Roman" w:eastAsia="Calibri" w:hAnsi="Times New Roman" w:cs="Times New Roman"/>
          <w:sz w:val="24"/>
          <w:szCs w:val="24"/>
        </w:rPr>
        <w:t>5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числа месяца, следующего за отчетным кварталом, представляют 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в Управление образования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отчет об исполнении мероприятий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по форме, установленной </w:t>
      </w:r>
      <w:r w:rsidR="006556D4">
        <w:rPr>
          <w:rFonts w:ascii="Times New Roman" w:eastAsia="Calibri" w:hAnsi="Times New Roman" w:cs="Times New Roman"/>
          <w:sz w:val="24"/>
          <w:szCs w:val="24"/>
        </w:rPr>
        <w:t>Управлением образования</w:t>
      </w:r>
      <w:r w:rsidRPr="005717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A84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Подведомственные организации ежеквартально, в срок не позднее последнего числа месяца, следующего за отчетным кварталом, представляют </w:t>
      </w:r>
      <w:r w:rsidR="006556D4">
        <w:rPr>
          <w:rFonts w:ascii="Times New Roman" w:eastAsia="Calibri" w:hAnsi="Times New Roman" w:cs="Times New Roman"/>
          <w:sz w:val="24"/>
          <w:szCs w:val="24"/>
        </w:rPr>
        <w:t>в Управление образования</w:t>
      </w:r>
      <w:r w:rsidR="006556D4"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>отчет по использованию средств субсидий, выделенных из бюджета</w:t>
      </w:r>
      <w:r w:rsidR="006556D4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 (далее – автономного округа)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программой</w:t>
      </w:r>
      <w:r w:rsidR="00867A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2B24" w:rsidRDefault="00202B24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 П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рименение инструментов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202B24">
        <w:rPr>
          <w:rFonts w:ascii="Times New Roman" w:eastAsia="Calibri" w:hAnsi="Times New Roman" w:cs="Times New Roman"/>
          <w:sz w:val="24"/>
          <w:szCs w:val="24"/>
        </w:rPr>
        <w:t>бережливого производства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, которое способствует ускорению принятия стратегических решений, улучшению взаимодействия между </w:t>
      </w:r>
      <w:r>
        <w:rPr>
          <w:rFonts w:ascii="Times New Roman" w:eastAsia="Calibri" w:hAnsi="Times New Roman" w:cs="Times New Roman"/>
          <w:sz w:val="24"/>
          <w:szCs w:val="24"/>
        </w:rPr>
        <w:t>структурами муниципального самоуправления</w:t>
      </w:r>
      <w:r w:rsidR="00C3144F">
        <w:rPr>
          <w:rFonts w:ascii="Times New Roman" w:eastAsia="Calibri" w:hAnsi="Times New Roman" w:cs="Times New Roman"/>
          <w:sz w:val="24"/>
          <w:szCs w:val="24"/>
        </w:rPr>
        <w:t>.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02B24">
        <w:rPr>
          <w:rFonts w:ascii="Times New Roman" w:eastAsia="Calibri" w:hAnsi="Times New Roman" w:cs="Times New Roman"/>
          <w:sz w:val="24"/>
          <w:szCs w:val="24"/>
        </w:rPr>
        <w:t>Реализация мероприятий муниципальной программы (таблицы 2, 3) осуществляется с учетом технологий «Бережливого производства» путем повышения прозрачности и открытости деятельности в ходе реализации муниципальной программы, устранения административных барьеров</w:t>
      </w:r>
      <w:r w:rsidRPr="00202B24">
        <w:t xml:space="preserve"> </w:t>
      </w:r>
      <w:r w:rsidRPr="00202B24">
        <w:rPr>
          <w:rFonts w:ascii="Times New Roman" w:eastAsia="Calibri" w:hAnsi="Times New Roman" w:cs="Times New Roman"/>
          <w:sz w:val="24"/>
          <w:szCs w:val="24"/>
        </w:rPr>
        <w:t>предоставления муниципальных услуг населению, совершенствованию механизмов муниципальной поддержки, уменьшения временных потерь, снижения излишней бюрократической нагрузки на педагогических работников, разработки автоматизированных информационных систем, позволяющих снизить коли</w:t>
      </w:r>
      <w:r>
        <w:rPr>
          <w:rFonts w:ascii="Times New Roman" w:eastAsia="Calibri" w:hAnsi="Times New Roman" w:cs="Times New Roman"/>
          <w:sz w:val="24"/>
          <w:szCs w:val="24"/>
        </w:rPr>
        <w:t>чество запрашиваемой информации.</w:t>
      </w:r>
      <w:proofErr w:type="gramEnd"/>
    </w:p>
    <w:p w:rsidR="00202B24" w:rsidRDefault="00202B24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механизмов реализации муниципальной программы является проектное управление </w:t>
      </w:r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(постановление администрации города </w:t>
      </w:r>
      <w:proofErr w:type="spellStart"/>
      <w:r w:rsidRPr="00FE45A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 от 30.11.2016 № 3034</w:t>
      </w:r>
      <w:r w:rsidR="00C31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5AD">
        <w:rPr>
          <w:rFonts w:ascii="Times New Roman" w:eastAsia="Calibri" w:hAnsi="Times New Roman" w:cs="Times New Roman"/>
          <w:sz w:val="24"/>
          <w:szCs w:val="24"/>
        </w:rPr>
        <w:t xml:space="preserve">«О системе управления проектной деятельностью в администрации города </w:t>
      </w:r>
      <w:proofErr w:type="spellStart"/>
      <w:r w:rsidRPr="00FE45A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E45AD">
        <w:rPr>
          <w:rFonts w:ascii="Times New Roman" w:eastAsia="Calibri" w:hAnsi="Times New Roman" w:cs="Times New Roman"/>
          <w:sz w:val="24"/>
          <w:szCs w:val="24"/>
        </w:rPr>
        <w:t>»),</w:t>
      </w:r>
      <w:r w:rsidRPr="00202B24">
        <w:rPr>
          <w:rFonts w:ascii="Times New Roman" w:eastAsia="Calibri" w:hAnsi="Times New Roman" w:cs="Times New Roman"/>
          <w:sz w:val="24"/>
          <w:szCs w:val="24"/>
        </w:rPr>
        <w:t xml:space="preserve"> что позволит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своевременность принимаемых решений, повысить эффективность внутриведомственного, межведомственного и межуровневого взаимодействия;</w:t>
      </w:r>
    </w:p>
    <w:p w:rsidR="00867A84" w:rsidRDefault="00085B3D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. Реализация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осуществляется </w:t>
      </w:r>
      <w:proofErr w:type="gramStart"/>
      <w:r w:rsidR="00856BA7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="00740BA7"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lastRenderedPageBreak/>
        <w:t>з</w:t>
      </w:r>
      <w:r w:rsidR="00740BA7" w:rsidRPr="00867A84">
        <w:rPr>
          <w:rFonts w:ascii="Times New Roman" w:hAnsi="Times New Roman"/>
          <w:sz w:val="24"/>
          <w:szCs w:val="24"/>
        </w:rPr>
        <w:t>аключени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83CE0" w:rsidRPr="00867A84">
        <w:rPr>
          <w:rFonts w:ascii="Times New Roman" w:hAnsi="Times New Roman"/>
          <w:sz w:val="24"/>
          <w:szCs w:val="24"/>
        </w:rPr>
        <w:t>муниципальными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заказчиками </w:t>
      </w:r>
      <w:r w:rsidR="00283CE0" w:rsidRPr="00867A84">
        <w:rPr>
          <w:rFonts w:ascii="Times New Roman" w:hAnsi="Times New Roman"/>
          <w:sz w:val="24"/>
          <w:szCs w:val="24"/>
        </w:rPr>
        <w:t>муниципальных</w:t>
      </w:r>
      <w:r w:rsidR="00740BA7" w:rsidRPr="00867A84">
        <w:rPr>
          <w:rFonts w:ascii="Times New Roman" w:hAnsi="Times New Roman"/>
          <w:sz w:val="24"/>
          <w:szCs w:val="24"/>
        </w:rPr>
        <w:t xml:space="preserve"> контрактов на приобретение товаров (оказание услуг, выполнение работ) для </w:t>
      </w:r>
      <w:r w:rsidR="00283CE0" w:rsidRPr="00867A84">
        <w:rPr>
          <w:rFonts w:ascii="Times New Roman" w:hAnsi="Times New Roman"/>
          <w:sz w:val="24"/>
          <w:szCs w:val="24"/>
        </w:rPr>
        <w:t>муниципальн</w:t>
      </w:r>
      <w:r w:rsidR="00740BA7" w:rsidRPr="00867A84">
        <w:rPr>
          <w:rFonts w:ascii="Times New Roman" w:hAnsi="Times New Roman"/>
          <w:sz w:val="24"/>
          <w:szCs w:val="24"/>
        </w:rPr>
        <w:t>ых нужд в порядке, установленном законодательством Российской Федерации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пр</w:t>
      </w:r>
      <w:r w:rsidR="00740BA7" w:rsidRPr="00867A84">
        <w:rPr>
          <w:rFonts w:ascii="Times New Roman" w:hAnsi="Times New Roman"/>
          <w:sz w:val="24"/>
          <w:szCs w:val="24"/>
        </w:rPr>
        <w:t>едоставлени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83CE0" w:rsidRPr="00867A84">
        <w:rPr>
          <w:rFonts w:ascii="Times New Roman" w:hAnsi="Times New Roman"/>
          <w:sz w:val="24"/>
          <w:szCs w:val="24"/>
        </w:rPr>
        <w:t xml:space="preserve">субсидий подведомственным организациям на выполнение муниципальных заданий </w:t>
      </w:r>
      <w:r w:rsidR="00740BA7" w:rsidRPr="00867A84">
        <w:rPr>
          <w:rFonts w:ascii="Times New Roman" w:hAnsi="Times New Roman"/>
          <w:sz w:val="24"/>
          <w:szCs w:val="24"/>
        </w:rPr>
        <w:t xml:space="preserve">из </w:t>
      </w:r>
      <w:r w:rsidR="003D44FE" w:rsidRPr="00867A84">
        <w:rPr>
          <w:rFonts w:ascii="Times New Roman" w:hAnsi="Times New Roman"/>
          <w:sz w:val="24"/>
          <w:szCs w:val="24"/>
        </w:rPr>
        <w:t>бюджет</w:t>
      </w:r>
      <w:r w:rsidR="003D44FE">
        <w:rPr>
          <w:rFonts w:ascii="Times New Roman" w:hAnsi="Times New Roman"/>
          <w:sz w:val="24"/>
          <w:szCs w:val="24"/>
        </w:rPr>
        <w:t>а автономного округа</w:t>
      </w:r>
      <w:r w:rsidR="003D44FE" w:rsidRPr="00867A84">
        <w:rPr>
          <w:rFonts w:ascii="Times New Roman" w:hAnsi="Times New Roman"/>
          <w:sz w:val="24"/>
          <w:szCs w:val="24"/>
        </w:rPr>
        <w:t xml:space="preserve"> </w:t>
      </w:r>
      <w:r w:rsidR="003D44FE">
        <w:rPr>
          <w:rFonts w:ascii="Times New Roman" w:hAnsi="Times New Roman"/>
          <w:sz w:val="24"/>
          <w:szCs w:val="24"/>
        </w:rPr>
        <w:t xml:space="preserve">и </w:t>
      </w:r>
      <w:r w:rsidR="00283CE0" w:rsidRPr="00867A84">
        <w:rPr>
          <w:rFonts w:ascii="Times New Roman" w:hAnsi="Times New Roman"/>
          <w:sz w:val="24"/>
          <w:szCs w:val="24"/>
        </w:rPr>
        <w:t xml:space="preserve">местного </w:t>
      </w:r>
      <w:r w:rsidR="003D44FE">
        <w:rPr>
          <w:rFonts w:ascii="Times New Roman" w:hAnsi="Times New Roman"/>
          <w:sz w:val="24"/>
          <w:szCs w:val="24"/>
        </w:rPr>
        <w:t xml:space="preserve">бюджета </w:t>
      </w:r>
      <w:r w:rsidR="00740BA7" w:rsidRPr="00867A84">
        <w:rPr>
          <w:rFonts w:ascii="Times New Roman" w:hAnsi="Times New Roman"/>
          <w:sz w:val="24"/>
          <w:szCs w:val="24"/>
        </w:rPr>
        <w:t xml:space="preserve">в соответствии с законами автономного округа и </w:t>
      </w:r>
      <w:r w:rsidR="00283CE0" w:rsidRPr="00867A84">
        <w:rPr>
          <w:rFonts w:ascii="Times New Roman" w:hAnsi="Times New Roman"/>
          <w:sz w:val="24"/>
          <w:szCs w:val="24"/>
        </w:rPr>
        <w:t xml:space="preserve">муниципальными правовыми актами города </w:t>
      </w:r>
      <w:proofErr w:type="spellStart"/>
      <w:r w:rsidR="00283CE0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>редоставлени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субсидий юридическим лицам (за исключением муниципальных </w:t>
      </w:r>
      <w:r w:rsidR="002C7CCA">
        <w:rPr>
          <w:rFonts w:ascii="Times New Roman" w:hAnsi="Times New Roman"/>
          <w:sz w:val="24"/>
          <w:szCs w:val="24"/>
        </w:rPr>
        <w:t>организаций</w:t>
      </w:r>
      <w:r w:rsidR="00740BA7" w:rsidRPr="00867A84">
        <w:rPr>
          <w:rFonts w:ascii="Times New Roman" w:hAnsi="Times New Roman"/>
          <w:sz w:val="24"/>
          <w:szCs w:val="24"/>
        </w:rPr>
        <w:t>), индивидуальным предпринимателям в порядк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>, установленн</w:t>
      </w:r>
      <w:r w:rsidR="00856BA7">
        <w:rPr>
          <w:rFonts w:ascii="Times New Roman" w:hAnsi="Times New Roman"/>
          <w:sz w:val="24"/>
          <w:szCs w:val="24"/>
        </w:rPr>
        <w:t xml:space="preserve">ом 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856BA7">
        <w:rPr>
          <w:rFonts w:ascii="Times New Roman" w:hAnsi="Times New Roman"/>
          <w:sz w:val="24"/>
          <w:szCs w:val="24"/>
        </w:rPr>
        <w:t>муниципальным правовым актом</w:t>
      </w:r>
      <w:r w:rsidR="00740BA7" w:rsidRPr="00867A84">
        <w:rPr>
          <w:rFonts w:ascii="Times New Roman" w:hAnsi="Times New Roman"/>
          <w:sz w:val="24"/>
          <w:szCs w:val="24"/>
        </w:rPr>
        <w:t xml:space="preserve"> </w:t>
      </w:r>
      <w:r w:rsidR="00205915" w:rsidRPr="00867A84"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 w:rsidR="00205915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740BA7" w:rsidRPr="00867A84" w:rsidRDefault="00867A84" w:rsidP="00B21A49">
      <w:pPr>
        <w:pStyle w:val="a8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40BA7" w:rsidRPr="00867A84">
        <w:rPr>
          <w:rFonts w:ascii="Times New Roman" w:hAnsi="Times New Roman"/>
          <w:sz w:val="24"/>
          <w:szCs w:val="24"/>
        </w:rPr>
        <w:t>аключени</w:t>
      </w:r>
      <w:r w:rsidR="00856BA7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 xml:space="preserve"> соглашений (договоров) с </w:t>
      </w:r>
      <w:r w:rsidR="00927A6A" w:rsidRPr="00867A84">
        <w:rPr>
          <w:rFonts w:ascii="Times New Roman" w:hAnsi="Times New Roman"/>
          <w:sz w:val="24"/>
          <w:szCs w:val="24"/>
        </w:rPr>
        <w:t>региональными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органами исполнительной власти</w:t>
      </w:r>
      <w:r w:rsidR="00A1522B">
        <w:rPr>
          <w:rFonts w:ascii="Times New Roman" w:hAnsi="Times New Roman"/>
          <w:sz w:val="24"/>
          <w:szCs w:val="24"/>
        </w:rPr>
        <w:t>,</w:t>
      </w:r>
      <w:r w:rsidR="00927A6A" w:rsidRPr="00867A84">
        <w:rPr>
          <w:rFonts w:ascii="Times New Roman" w:hAnsi="Times New Roman"/>
          <w:sz w:val="24"/>
          <w:szCs w:val="24"/>
        </w:rPr>
        <w:t xml:space="preserve"> с </w:t>
      </w:r>
      <w:r w:rsidR="00740BA7" w:rsidRPr="00867A84">
        <w:rPr>
          <w:rFonts w:ascii="Times New Roman" w:hAnsi="Times New Roman"/>
          <w:sz w:val="24"/>
          <w:szCs w:val="24"/>
        </w:rPr>
        <w:t xml:space="preserve">организациями, общественными объединениями о взаимодействии в целях совместной реализации </w:t>
      </w:r>
      <w:r w:rsidR="00927A6A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в </w:t>
      </w:r>
      <w:r w:rsidR="00927A6A" w:rsidRPr="00867A84">
        <w:rPr>
          <w:rFonts w:ascii="Times New Roman" w:hAnsi="Times New Roman"/>
          <w:sz w:val="24"/>
          <w:szCs w:val="24"/>
        </w:rPr>
        <w:t xml:space="preserve">городе </w:t>
      </w:r>
      <w:proofErr w:type="spellStart"/>
      <w:r w:rsidR="00927A6A" w:rsidRPr="00867A84">
        <w:rPr>
          <w:rFonts w:ascii="Times New Roman" w:hAnsi="Times New Roman"/>
          <w:sz w:val="24"/>
          <w:szCs w:val="24"/>
        </w:rPr>
        <w:t>Югорске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.</w:t>
      </w:r>
    </w:p>
    <w:p w:rsidR="00867A84" w:rsidRDefault="00740BA7" w:rsidP="00DD7F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целях эффективного исполнения поручений Президента Российской Федерации, при заключении соглашений (договоров) </w:t>
      </w:r>
      <w:r w:rsidR="00927A6A" w:rsidRPr="00927A6A">
        <w:rPr>
          <w:rFonts w:ascii="Times New Roman" w:eastAsia="Calibri" w:hAnsi="Times New Roman" w:cs="Times New Roman"/>
          <w:sz w:val="24"/>
          <w:szCs w:val="24"/>
        </w:rPr>
        <w:t>с органами исполнительной власти</w:t>
      </w:r>
      <w:r w:rsidR="00961B6E"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1B6E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7A6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927A6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субсидии в целях </w:t>
      </w:r>
      <w:proofErr w:type="spellStart"/>
      <w:r w:rsidRPr="005717DE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расходных обязательств муниципального образования, связанных с обеспечением реализации мероприятий </w:t>
      </w:r>
      <w:r w:rsidR="00FD6F8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</w:t>
      </w:r>
      <w:r w:rsidR="00867A84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F8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FD6F8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DD7F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7A84">
        <w:rPr>
          <w:rFonts w:ascii="Times New Roman" w:hAnsi="Times New Roman"/>
          <w:sz w:val="24"/>
          <w:szCs w:val="24"/>
        </w:rPr>
        <w:t>планируют средства на реализацию таких мероприятий при формировании бюджета на очередной финансовый</w:t>
      </w:r>
      <w:r w:rsidR="00BA4DA9">
        <w:rPr>
          <w:rFonts w:ascii="Times New Roman" w:hAnsi="Times New Roman"/>
          <w:sz w:val="24"/>
          <w:szCs w:val="24"/>
        </w:rPr>
        <w:t xml:space="preserve"> год и плановый</w:t>
      </w:r>
      <w:r w:rsidR="00961B6E">
        <w:rPr>
          <w:rFonts w:ascii="Times New Roman" w:hAnsi="Times New Roman"/>
          <w:sz w:val="24"/>
          <w:szCs w:val="24"/>
        </w:rPr>
        <w:t xml:space="preserve"> период.</w:t>
      </w:r>
      <w:proofErr w:type="gramEnd"/>
    </w:p>
    <w:p w:rsidR="00740BA7" w:rsidRPr="00DD7F10" w:rsidRDefault="00DD7F10" w:rsidP="00DD7F10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40BA7" w:rsidRPr="00DD7F10">
        <w:rPr>
          <w:rFonts w:ascii="Times New Roman" w:hAnsi="Times New Roman"/>
          <w:sz w:val="24"/>
          <w:szCs w:val="24"/>
        </w:rPr>
        <w:t xml:space="preserve">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 w:rsidR="00740BA7" w:rsidRPr="00DD7F10">
        <w:rPr>
          <w:rFonts w:ascii="Times New Roman" w:hAnsi="Times New Roman"/>
          <w:sz w:val="24"/>
          <w:szCs w:val="24"/>
        </w:rPr>
        <w:t>сопоставления</w:t>
      </w:r>
      <w:proofErr w:type="gramEnd"/>
      <w:r w:rsidR="00740BA7" w:rsidRPr="00DD7F10">
        <w:rPr>
          <w:rFonts w:ascii="Times New Roman" w:hAnsi="Times New Roman"/>
          <w:sz w:val="24"/>
          <w:szCs w:val="24"/>
        </w:rPr>
        <w:t xml:space="preserve"> фактически достигнутых и целевых значений показателей</w:t>
      </w:r>
      <w:r w:rsidR="00961B6E">
        <w:rPr>
          <w:rFonts w:ascii="Times New Roman" w:hAnsi="Times New Roman"/>
          <w:sz w:val="24"/>
          <w:szCs w:val="24"/>
        </w:rPr>
        <w:t xml:space="preserve"> (таблица 1)</w:t>
      </w:r>
      <w:r w:rsidR="00740BA7" w:rsidRPr="00DD7F10">
        <w:rPr>
          <w:rFonts w:ascii="Times New Roman" w:hAnsi="Times New Roman"/>
          <w:sz w:val="24"/>
          <w:szCs w:val="24"/>
        </w:rPr>
        <w:t xml:space="preserve">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</w:t>
      </w:r>
      <w:r w:rsidR="00F37695" w:rsidRPr="00DD7F10">
        <w:rPr>
          <w:rFonts w:ascii="Times New Roman" w:hAnsi="Times New Roman"/>
          <w:sz w:val="24"/>
          <w:szCs w:val="24"/>
        </w:rPr>
        <w:t>муниципальн</w:t>
      </w:r>
      <w:r w:rsidR="00740BA7" w:rsidRPr="00DD7F10">
        <w:rPr>
          <w:rFonts w:ascii="Times New Roman" w:hAnsi="Times New Roman"/>
          <w:sz w:val="24"/>
          <w:szCs w:val="24"/>
        </w:rPr>
        <w:t>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181218" w:rsidRDefault="00181218" w:rsidP="00DD7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1218" w:rsidSect="003D44FE"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p w:rsidR="00181218" w:rsidRDefault="00181218" w:rsidP="001812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2"/>
        <w:gridCol w:w="4826"/>
        <w:gridCol w:w="709"/>
        <w:gridCol w:w="1849"/>
        <w:gridCol w:w="703"/>
        <w:gridCol w:w="709"/>
        <w:gridCol w:w="709"/>
        <w:gridCol w:w="709"/>
        <w:gridCol w:w="708"/>
        <w:gridCol w:w="709"/>
        <w:gridCol w:w="708"/>
        <w:gridCol w:w="2264"/>
      </w:tblGrid>
      <w:tr w:rsidR="00181218" w:rsidRPr="00181218" w:rsidTr="00CD0725">
        <w:trPr>
          <w:trHeight w:val="305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целевого показателя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3702D7" w:rsidRPr="00181218" w:rsidTr="00CD0725">
        <w:trPr>
          <w:trHeight w:val="848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D7" w:rsidRPr="00181218" w:rsidRDefault="003702D7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D7" w:rsidRPr="00181218" w:rsidTr="00CD0725">
        <w:trPr>
          <w:trHeight w:val="324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181218" w:rsidRDefault="00214060" w:rsidP="0021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702D7" w:rsidRPr="00302F69" w:rsidTr="003702D7">
        <w:trPr>
          <w:trHeight w:val="82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D7" w:rsidRPr="00302F69" w:rsidRDefault="00832BE2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</w:t>
            </w:r>
            <w:r w:rsidR="00085B3D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ежегодно не менее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Calibri" w:hAnsi="Times New Roman" w:cs="Times New Roman"/>
                <w:sz w:val="20"/>
                <w:szCs w:val="20"/>
              </w:rPr>
              <w:t>ежегодно не менее 33 процентов</w:t>
            </w:r>
          </w:p>
        </w:tc>
      </w:tr>
      <w:tr w:rsidR="003702D7" w:rsidRPr="00302F69" w:rsidTr="003702D7">
        <w:trPr>
          <w:trHeight w:val="5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D7" w:rsidRPr="00302F69" w:rsidRDefault="00832BE2" w:rsidP="00A54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67ADD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02D7" w:rsidRPr="00302F69" w:rsidTr="003702D7">
        <w:trPr>
          <w:trHeight w:val="4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детей дошкольного возраста местами в дошкольных образовательных организациях (количество мест на 1000 детей)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A547B3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612414" w:rsidP="00A5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832BE2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B581C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B581C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</w:tr>
      <w:tr w:rsidR="003702D7" w:rsidRPr="00302F69" w:rsidTr="00954A70">
        <w:trPr>
          <w:trHeight w:val="5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7" w:rsidRPr="00302F69" w:rsidRDefault="00832BE2" w:rsidP="00954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дополнительным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образованием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2A4C83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702D7" w:rsidRPr="00302F69" w:rsidTr="00954A70">
        <w:trPr>
          <w:trHeight w:val="33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95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954A70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702D7" w:rsidRPr="00302F69" w:rsidTr="001573C7">
        <w:trPr>
          <w:trHeight w:val="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негосударственных, в том числе </w:t>
            </w: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37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5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5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</w:tr>
      <w:tr w:rsidR="003702D7" w:rsidRPr="00302F69" w:rsidTr="003702D7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2D7" w:rsidRPr="00302F69" w:rsidRDefault="003702D7" w:rsidP="00A4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proofErr w:type="gramStart"/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работников, прошедших добровольную независимую оценку 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профессиональной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нарастающим итогом с 2019 года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единиц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0,000483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54A70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0,000483</w:t>
            </w:r>
          </w:p>
        </w:tc>
      </w:tr>
      <w:tr w:rsidR="006B40B6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40B6" w:rsidRPr="00302F69" w:rsidRDefault="006B40B6" w:rsidP="00A4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образовательных организаций, расположенных на территории города </w:t>
            </w:r>
            <w:proofErr w:type="spell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обеспеченных Интернетом со скоростью соединения не менее 100 Мб/</w:t>
            </w:r>
            <w:proofErr w:type="gramStart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образовательных организаций, расположенных в городах</w:t>
            </w:r>
            <w:r w:rsidR="00A43FC8" w:rsidRPr="00302F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6B40B6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ED065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B6" w:rsidRPr="00302F69" w:rsidRDefault="00997D55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702D7" w:rsidRPr="00302F69" w:rsidTr="003702D7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2D7" w:rsidRPr="00302F69" w:rsidRDefault="003702D7" w:rsidP="006B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40B6"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D7" w:rsidRPr="00851D0A" w:rsidRDefault="003702D7" w:rsidP="0085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85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приобретенных объектов, </w:t>
            </w: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предназначенных для размещения образовательных организаций</w:t>
            </w:r>
            <w:r w:rsidR="00851D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851D0A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7" w:rsidRPr="00302F69" w:rsidRDefault="003702D7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D7" w:rsidRPr="00302F69" w:rsidRDefault="009716B4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960F91" w:rsidRPr="004E7544" w:rsidRDefault="00960F91" w:rsidP="00960F9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ПК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ПК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административно-управленческого и педагогического персонала общеобразовательных организаций, прошедшего целевую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(дополнительная информация образовательных организаций общего образования);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административно-управленческого и педагогического персонала (без внешних совместителей) общеобразовательных организаций (периодическая отчетность, форма N ОО-1).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hyperlink r:id="rId10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(Ч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ДО1,5-3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ДУ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ДО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,5-3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детей в возрасте от 1,5 лет до 3 лет, получающих дошкольное образование;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ДУ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детей в возрасте от 1,5 лет до 3 лет, находящихся в очереди на получение по состоянию на 1 января года, следующего за 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отчетным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Par630"/>
      <w:bookmarkEnd w:id="1"/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мест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(ЧД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оу)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мест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мест в дошкольных образовательных организациях (периодическая отчетность, форма N 85-К);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населения в возрасте 1 - 6 лет (демографические данные населения в возрасте 1 - 6 лет);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ЧД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5-6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оу - численность обучающихся в общеобразовательных организациях в возрасте 5 - 6 лет (периодическая отчетность, форма N ОО-1).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4 </w:t>
      </w:r>
      <w:hyperlink r:id="rId11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9C0991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9C0991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740592" cy="248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(выпускников текущего года) образовательной организации, имеющих активный результат (далее - участники) по соответствующему предмету;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тестовый балл участников по соответствующему предмету.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средний балл образовательной организации рассчитывается следующим образом: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рус.яз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/ (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рус.яз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мат.баз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мат.проф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русскому языку;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базовой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.п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профильной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рус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.я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русскому языку;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базовой математике;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.п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роф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участников по профильной математике.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средний балл по базовой математике переведен из 5-балльной в 100-балльную систему в соответствии со следующей формулой: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(100 *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(5)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) / 5, где: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мат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.б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аз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(5)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средний балл участников по базовой математике по 5-балльной шкале.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5 </w:t>
      </w:r>
      <w:hyperlink r:id="rId13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4811AC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4811AC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60F91" w:rsidRDefault="00DE3907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="00960F91" w:rsidRPr="004E7544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Методика</w:t>
        </w:r>
      </w:hyperlink>
      <w:r w:rsidR="00960F91"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расчета показателя утверждена приказом Федеральной службы государственной статистики от 4 апреля 2017 года N 225 </w:t>
      </w:r>
      <w:r w:rsidR="00ED5A59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60F91"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методики расчета показателя «Численность детей в возрасте от 5 до 18 лет, занимавшихся по дополнительным общеобразовательным программам для детей». Форма федерального статистического наблюдения N 1-ДОП «Сведения о дополнительном образовании и спортивной подготовке детей». Форма федерального статистического наблюдения N 1-качество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0F91" w:rsidRPr="004E7544" w:rsidRDefault="00960F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6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>ассчитывается по формуле: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оа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,к</w:t>
      </w:r>
      <w:proofErr w:type="spellEnd"/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60F91" w:rsidRPr="004E7544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оа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,к</w:t>
      </w:r>
      <w:proofErr w:type="spellEnd"/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 (периодическая отчетность, форма N ОО-2);</w:t>
      </w:r>
    </w:p>
    <w:p w:rsidR="00960F91" w:rsidRDefault="00960F91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образовательных организаций, реализующих программы общего образования (периодическая отчетность, форма N ОО-2).</w:t>
      </w:r>
    </w:p>
    <w:p w:rsidR="004E7544" w:rsidRPr="004E7544" w:rsidRDefault="004E7544" w:rsidP="0096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7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</w:t>
      </w:r>
      <w:r w:rsidRPr="004E7544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>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осо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осо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организаций, соответствующих современным требованиям обучения (дополнительные сведения);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ЧОоу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численность государственных (муниципальных) общеобразовательных организаций (периодическая отчетность, форма N ОО-1).</w:t>
      </w: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>8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 xml:space="preserve"> соответствии с письмами Министерства экономического развития Российской Федерации от 26 декабря 2016 года N 40081-ОФ/ДО1и, Департамента экономического развития автономного округа от 7 февраля 2017 года N 22-исх-1501.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К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негосударственных, в том числе некоммерческих, организаций, предоставляющих услуги в сфере образования;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число организаций, предоставляющих услуги в сфере образования.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>9</w:t>
      </w:r>
      <w:proofErr w:type="gramStart"/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4E754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lang w:eastAsia="ru-RU"/>
        </w:rPr>
        <w:t xml:space="preserve"> соответствии с письмами Министерства экономического развития Российской Федерации от 26 декабря 2016 года N 40081-ОФ/ДО1и, Департамента экономического развития автономного округа от 7 февраля 2017 года N 22-исх-1501.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К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* 100%, где: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граждан автономного округа, получающих услуги в негосударственных организациях (коммерческих, некоммерческих);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число граждан автономного округа, получающих услуги в сфере образования.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991" w:rsidRPr="004E7544" w:rsidRDefault="009C099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10 </w:t>
      </w:r>
      <w:hyperlink r:id="rId15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</w:t>
      </w:r>
      <w:r w:rsidR="00744218" w:rsidRPr="004E7544">
        <w:rPr>
          <w:rFonts w:ascii="Times New Roman" w:eastAsia="Times New Roman" w:hAnsi="Times New Roman" w:cs="Times New Roman"/>
          <w:lang w:eastAsia="ru-RU"/>
        </w:rPr>
        <w:t>«</w:t>
      </w:r>
      <w:r w:rsidRPr="004E7544">
        <w:rPr>
          <w:rFonts w:ascii="Times New Roman" w:eastAsia="Times New Roman" w:hAnsi="Times New Roman" w:cs="Times New Roman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744218" w:rsidRPr="004E7544">
        <w:rPr>
          <w:rFonts w:ascii="Times New Roman" w:eastAsia="Times New Roman" w:hAnsi="Times New Roman" w:cs="Times New Roman"/>
          <w:lang w:eastAsia="ru-RU"/>
        </w:rPr>
        <w:t>»</w:t>
      </w:r>
      <w:r w:rsidRPr="004E7544">
        <w:rPr>
          <w:rFonts w:ascii="Times New Roman" w:eastAsia="Times New Roman" w:hAnsi="Times New Roman" w:cs="Times New Roman"/>
          <w:lang w:eastAsia="ru-RU"/>
        </w:rPr>
        <w:t>.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5"/>
          <w:sz w:val="20"/>
          <w:szCs w:val="20"/>
          <w:lang w:eastAsia="ru-RU"/>
        </w:rPr>
        <w:drawing>
          <wp:inline distT="0" distB="0" distL="0" distR="0">
            <wp:extent cx="1726387" cy="285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8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91" w:rsidRPr="004E7544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число педагогических работников образовательных организаций, вовлеченных в национальную систему профессионального роста педагогических работников, в i-м субъекте Российской Федерации;</w:t>
      </w:r>
    </w:p>
    <w:p w:rsidR="009C0991" w:rsidRDefault="009C0991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 - общее число педагогических работников образовательных организаций.</w:t>
      </w:r>
    </w:p>
    <w:p w:rsidR="004E7544" w:rsidRPr="004E7544" w:rsidRDefault="004E7544" w:rsidP="009C09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218" w:rsidRPr="004E7544" w:rsidRDefault="00744218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11 </w:t>
      </w:r>
      <w:hyperlink r:id="rId17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5"/>
          <w:sz w:val="20"/>
          <w:szCs w:val="20"/>
          <w:lang w:eastAsia="ru-RU"/>
        </w:rPr>
        <w:drawing>
          <wp:inline distT="0" distB="0" distL="0" distR="0">
            <wp:extent cx="994866" cy="2779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27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оказанных i-й некоммерческой организацией;</w:t>
      </w:r>
    </w:p>
    <w:p w:rsidR="00744218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N - число некоммерческих организаций - получателей грантов в форме субсидий из федерального бюджета, а также грантов и иной финансовой государственной поддержки из консолидированного бюджета Ханты-Мансийского автономного округа - Югры, Российской Федерации.</w:t>
      </w:r>
    </w:p>
    <w:p w:rsidR="004E7544" w:rsidRPr="004E7544" w:rsidRDefault="004E7544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218" w:rsidRPr="004E7544" w:rsidRDefault="00744218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Отчеты некоммерческих организаций о реализации соглашений о предоставлении грантов в форме субсидии на финансовое обеспечение реализации мероприятий.</w:t>
      </w:r>
    </w:p>
    <w:p w:rsidR="00AE2161" w:rsidRPr="004E7544" w:rsidRDefault="00AE2161" w:rsidP="004E754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E7544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12 </w:t>
      </w:r>
      <w:hyperlink r:id="rId19" w:history="1">
        <w:r w:rsidRPr="004E7544">
          <w:rPr>
            <w:rFonts w:ascii="Times New Roman" w:eastAsia="Times New Roman" w:hAnsi="Times New Roman" w:cs="Times New Roman"/>
            <w:color w:val="0000FF"/>
            <w:lang w:eastAsia="ru-RU"/>
          </w:rPr>
          <w:t>Указ</w:t>
        </w:r>
      </w:hyperlink>
      <w:r w:rsidRPr="004E7544">
        <w:rPr>
          <w:rFonts w:ascii="Times New Roman" w:eastAsia="Times New Roman" w:hAnsi="Times New Roman" w:cs="Times New Roman"/>
          <w:lang w:eastAsia="ru-RU"/>
        </w:rPr>
        <w:t xml:space="preserve"> Президента Российской Федерации от 7 мая 2018 года N 204 «О национальных целях и стратегических задачах развития Российской Федерации на период до 2024 года».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по формуле:</w:t>
      </w:r>
    </w:p>
    <w:p w:rsidR="00AE2161" w:rsidRPr="004E7544" w:rsidRDefault="00DE3907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21.5pt;visibility:visible;mso-wrap-style:square">
            <v:imagedata r:id="rId20" o:title=""/>
          </v:shape>
        </w:pic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592260" cy="2633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образовательные организации, обеспеченные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интернет-соединением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скоростью соединения не менее 100 Мб/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городской местности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544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>
            <wp:extent cx="548640" cy="2340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образовательные организации, обеспеченные </w:t>
      </w: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интернет-соединением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скоростью соединения не менее 100 Мб/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сельской местности и поселках городского типа.</w:t>
      </w:r>
    </w:p>
    <w:p w:rsidR="00AE2161" w:rsidRPr="004E7544" w:rsidRDefault="00AE2161" w:rsidP="00AE2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E754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общее</w:t>
      </w:r>
      <w:proofErr w:type="spellEnd"/>
      <w:r w:rsidRPr="004E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количество образовательных организаций.</w:t>
      </w:r>
    </w:p>
    <w:p w:rsidR="004811AC" w:rsidRPr="004E7544" w:rsidRDefault="004811AC" w:rsidP="00744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811AC" w:rsidRPr="004E7544" w:rsidRDefault="004811AC" w:rsidP="004811AC">
      <w:pPr>
        <w:spacing w:after="0" w:line="240" w:lineRule="auto"/>
        <w:ind w:left="-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75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Количество </w:t>
      </w:r>
      <w:r w:rsidR="009716B4" w:rsidRPr="004E7544">
        <w:rPr>
          <w:rFonts w:ascii="Times New Roman" w:eastAsia="Calibri" w:hAnsi="Times New Roman" w:cs="Times New Roman"/>
          <w:sz w:val="20"/>
          <w:szCs w:val="20"/>
        </w:rPr>
        <w:t>приобретенных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объектов, предназначенных для размещения образовательных организаций.</w:t>
      </w:r>
    </w:p>
    <w:p w:rsidR="00181218" w:rsidRDefault="004811AC" w:rsidP="00ED5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Характеризует количество </w:t>
      </w:r>
      <w:r w:rsidR="009716B4" w:rsidRPr="004E7544">
        <w:rPr>
          <w:rFonts w:ascii="Times New Roman" w:eastAsia="Calibri" w:hAnsi="Times New Roman" w:cs="Times New Roman"/>
          <w:sz w:val="20"/>
          <w:szCs w:val="20"/>
        </w:rPr>
        <w:t>приобретенных</w:t>
      </w:r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объектов образовательных организаций в городе </w:t>
      </w:r>
      <w:proofErr w:type="spellStart"/>
      <w:r w:rsidRPr="004E7544">
        <w:rPr>
          <w:rFonts w:ascii="Times New Roman" w:eastAsia="Calibri" w:hAnsi="Times New Roman" w:cs="Times New Roman"/>
          <w:sz w:val="20"/>
          <w:szCs w:val="20"/>
        </w:rPr>
        <w:t>Югорске</w:t>
      </w:r>
      <w:proofErr w:type="spellEnd"/>
      <w:r w:rsidRPr="004E7544">
        <w:rPr>
          <w:rFonts w:ascii="Times New Roman" w:eastAsia="Calibri" w:hAnsi="Times New Roman" w:cs="Times New Roman"/>
          <w:sz w:val="20"/>
          <w:szCs w:val="20"/>
        </w:rPr>
        <w:t xml:space="preserve"> (в количестве 4 к 2030 году).</w:t>
      </w:r>
      <w:r w:rsidR="0018121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15157" w:rsidRDefault="000B7546" w:rsidP="005B6B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</w:t>
      </w:r>
    </w:p>
    <w:p w:rsidR="00717899" w:rsidRDefault="00717899" w:rsidP="007D25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899" w:rsidRDefault="00717899" w:rsidP="00717899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717899" w:rsidRDefault="00717899" w:rsidP="007178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560"/>
        <w:gridCol w:w="1417"/>
        <w:gridCol w:w="992"/>
        <w:gridCol w:w="1266"/>
        <w:gridCol w:w="1166"/>
        <w:gridCol w:w="1166"/>
        <w:gridCol w:w="1166"/>
        <w:gridCol w:w="1166"/>
        <w:gridCol w:w="1166"/>
        <w:gridCol w:w="1134"/>
        <w:gridCol w:w="1166"/>
        <w:gridCol w:w="1266"/>
      </w:tblGrid>
      <w:tr w:rsidR="00021584" w:rsidRPr="00021584" w:rsidTr="00021584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021584" w:rsidRPr="00021584" w:rsidTr="00021584">
        <w:trPr>
          <w:trHeight w:val="12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1, 2, 3, 4, 6, 7,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18991748,6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1430781,3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1590087,3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1583998,8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1584893,3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1589738,9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1594768,6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1599989,4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8017491,0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15249150,0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1126217,1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6419515,0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2094932,3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177877,3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181505,0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1647666,3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126686,9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124679,3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125820,9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127515,3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137390,6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730601,0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личности ребенка с учетом его потребностей, интересов и способностей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384261,2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68224,4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263364,0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333715,8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56241,0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231229,0</w:t>
            </w:r>
          </w:p>
        </w:tc>
      </w:tr>
      <w:tr w:rsidR="00021584" w:rsidRPr="00021584" w:rsidTr="00021584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32135,0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021584" w:rsidRPr="00021584" w:rsidTr="0002158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021584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(2, 3, 4, 9)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1421791,9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120318,4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122453,5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589510,0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307267,0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124510,0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1114524,9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89553,4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94971,5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(6, 7)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жилищно-коммунального и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строительного комплекса (далее - ДЖК и 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организаций  (6,7)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60787,5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55471,3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3788,9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3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</w:t>
            </w:r>
            <w:r w:rsidR="00331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Start"/>
            <w:r w:rsidR="00331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и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образовательных организаций 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Департамент муниципальной собственности и градостроительства (далее – </w:t>
            </w: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2218552,5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2017176,2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201376,3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</w:t>
            </w:r>
          </w:p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(6,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13)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815531,2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764915,0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50616,2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</w:t>
            </w:r>
            <w:r w:rsid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717899" w:rsidRPr="00021584" w:rsidRDefault="00717899" w:rsidP="00021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268650,0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236069,0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32581,0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</w:p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24284275,5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2053473,9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1801287,9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2386901,0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1871191,3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1876391,6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1970346,5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10557452,5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18365422,3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1546783,9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1898989,7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1479445,8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8015757,2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4132589,2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351095,0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349192,0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328394,6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337250,3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1754976,9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1786264,0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142459,2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3034083,7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2782091,2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251992,5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21250191,8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1643893,0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1801287,9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1768162,4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15583331,1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1157682,1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3880596,7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343751,7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351095,0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1786264,0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142459,2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21231524,8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1639026,0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1787487,9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1767230,8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1768162,4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15583331,1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1157682,1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1313768,1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3861929,7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338884,7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337295,0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1786264,0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142459,2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3034083,7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618738,6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2782091,2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587801,6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251992,5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584" w:rsidRPr="00021584" w:rsidTr="00021584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899" w:rsidRPr="00021584" w:rsidRDefault="00717899" w:rsidP="0071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856E8" w:rsidRPr="00021584" w:rsidRDefault="005856E8" w:rsidP="007178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58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D25AA" w:rsidRPr="007D25AA" w:rsidRDefault="008638C8" w:rsidP="007D25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0668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096"/>
      </w:tblGrid>
      <w:tr w:rsidR="008F3E45" w:rsidRPr="008F3E45" w:rsidTr="00AA21BB">
        <w:trPr>
          <w:trHeight w:val="855"/>
        </w:trPr>
        <w:tc>
          <w:tcPr>
            <w:tcW w:w="1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8C8" w:rsidRDefault="008F3E45" w:rsidP="008F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реализуемые на принципах проектного управления, </w:t>
            </w:r>
          </w:p>
          <w:p w:rsidR="008F3E45" w:rsidRDefault="008F3E4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направленные, в том числе на </w:t>
            </w:r>
            <w:r w:rsidR="00863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</w:t>
            </w: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национальных и федеральных проектов</w:t>
            </w:r>
            <w:r w:rsidR="00CB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(программ) Российской Федерации </w:t>
            </w:r>
            <w:proofErr w:type="gramEnd"/>
          </w:p>
          <w:p w:rsidR="0032369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5871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276"/>
              <w:gridCol w:w="1417"/>
              <w:gridCol w:w="851"/>
              <w:gridCol w:w="425"/>
              <w:gridCol w:w="2268"/>
              <w:gridCol w:w="142"/>
              <w:gridCol w:w="567"/>
              <w:gridCol w:w="1275"/>
              <w:gridCol w:w="1166"/>
              <w:gridCol w:w="935"/>
              <w:gridCol w:w="32"/>
              <w:gridCol w:w="900"/>
              <w:gridCol w:w="32"/>
              <w:gridCol w:w="900"/>
              <w:gridCol w:w="32"/>
              <w:gridCol w:w="1034"/>
              <w:gridCol w:w="32"/>
              <w:gridCol w:w="1034"/>
              <w:gridCol w:w="32"/>
              <w:gridCol w:w="817"/>
              <w:gridCol w:w="249"/>
            </w:tblGrid>
            <w:tr w:rsidR="00323695" w:rsidRPr="00323695" w:rsidTr="00172AA8">
              <w:trPr>
                <w:trHeight w:val="795"/>
              </w:trPr>
              <w:tc>
                <w:tcPr>
                  <w:tcW w:w="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портфеля проектов, проекта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проекта или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основного мероприятия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Цели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195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Параметры финансового обеспечения, тыс. рублей</w:t>
                  </w:r>
                </w:p>
              </w:tc>
            </w:tr>
            <w:tr w:rsidR="00323695" w:rsidRPr="00323695" w:rsidTr="00172AA8">
              <w:trPr>
                <w:trHeight w:val="495"/>
              </w:trPr>
              <w:tc>
                <w:tcPr>
                  <w:tcW w:w="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2019*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323695" w:rsidRPr="00323695" w:rsidTr="00172AA8">
              <w:trPr>
                <w:trHeight w:val="25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9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15871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Портфели проектов, основанные на национальных и федеральных проектах Российской Федерации</w:t>
                  </w:r>
                </w:p>
              </w:tc>
            </w:tr>
            <w:tr w:rsidR="00323695" w:rsidRPr="00323695" w:rsidTr="00172AA8">
              <w:trPr>
                <w:trHeight w:val="480"/>
              </w:trPr>
              <w:tc>
                <w:tcPr>
                  <w:tcW w:w="4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Портфель проектов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Современная школа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(6, 7,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      </w:r>
                  <w:proofErr w:type="gramEnd"/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825235,7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9704,5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618738,6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98396,3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98396,3</w:t>
                  </w:r>
                </w:p>
              </w:tc>
            </w:tr>
            <w:tr w:rsidR="00323695" w:rsidRPr="00323695" w:rsidTr="00172AA8">
              <w:trPr>
                <w:trHeight w:val="93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764915,0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172AA8">
              <w:trPr>
                <w:trHeight w:val="75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56531,8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5915,6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30937,0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9839,6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3788,9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3788,9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66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Региональный проект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Успех каждого ребенка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23695" w:rsidRPr="00323695" w:rsidRDefault="00323695" w:rsidP="00172A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(5, 8,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      </w:r>
                  <w:proofErr w:type="gramEnd"/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12.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336874,4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68224,4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57958,8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52672,8</w:t>
                  </w:r>
                </w:p>
              </w:tc>
            </w:tr>
            <w:tr w:rsidR="00323695" w:rsidRPr="00323695" w:rsidTr="00172AA8">
              <w:trPr>
                <w:trHeight w:val="5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5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292310,0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56241,0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51085,8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46245,8</w:t>
                  </w:r>
                </w:p>
              </w:tc>
            </w:tr>
            <w:tr w:rsidR="00323695" w:rsidRPr="00323695" w:rsidTr="00172AA8">
              <w:trPr>
                <w:trHeight w:val="97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44564,4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11983,4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172AA8">
              <w:trPr>
                <w:trHeight w:val="54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Региональный проект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Поддержка семей, имеющих детей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(2,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1,6**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57460,8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57460,8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57460,8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57460,8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61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37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AA8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Учитель будущего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(1,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5075,6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1404,6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1139,2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1139,2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172AA8">
              <w:trPr>
                <w:trHeight w:val="70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3936,4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265,4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734,2</w:t>
                  </w:r>
                </w:p>
              </w:tc>
            </w:tr>
            <w:tr w:rsidR="00323695" w:rsidRPr="00323695" w:rsidTr="00172AA8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Итого по портфелю проектов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1224646,5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136794,3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58693,0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53407,0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672145,6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823515,0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58600,0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323695">
              <w:trPr>
                <w:trHeight w:val="42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352778,2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62422,0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51820,0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46980,0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77917,0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48353,3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15772,3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Портфель проектов 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Демография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Региональный проект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Содействие занятости женщин - создание условий дошкольного образования для детей в возрасте до трех лет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(показатели 2, 3)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1,9**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412196,9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412196,9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391717,8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391717,8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60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20479,1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20479,1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Итого по портфелю проектов </w:t>
                  </w:r>
                  <w:r w:rsid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Демография</w:t>
                  </w:r>
                  <w:r w:rsidR="00172AA8" w:rsidRPr="00172A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412196,9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412196,9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391717,8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391717,8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20479,1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20479,1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4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0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323695" w:rsidRPr="00323695" w:rsidTr="00323695">
              <w:trPr>
                <w:trHeight w:val="255"/>
              </w:trPr>
              <w:tc>
                <w:tcPr>
                  <w:tcW w:w="740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1636843,4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548991,2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58693,0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53407,0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672145,6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151803,3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бюджет автономного округа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1215232,8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450317,8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587801,6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88556,7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373257,3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82901,1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51820,0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46980,0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77917,0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56819,6</w:t>
                  </w:r>
                </w:p>
              </w:tc>
            </w:tr>
            <w:tr w:rsidR="00323695" w:rsidRPr="00323695" w:rsidTr="00323695">
              <w:trPr>
                <w:trHeight w:val="510"/>
              </w:trPr>
              <w:tc>
                <w:tcPr>
                  <w:tcW w:w="740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иные источники финансирования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48353,3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15772,3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6873,0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  <w:tc>
                <w:tcPr>
                  <w:tcW w:w="10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6427,0</w:t>
                  </w:r>
                </w:p>
              </w:tc>
            </w:tr>
            <w:tr w:rsidR="00323695" w:rsidRPr="00323695" w:rsidTr="00323695">
              <w:trPr>
                <w:gridAfter w:val="1"/>
                <w:wAfter w:w="249" w:type="dxa"/>
                <w:trHeight w:val="1140"/>
              </w:trPr>
              <w:tc>
                <w:tcPr>
                  <w:tcW w:w="15622" w:type="dxa"/>
                  <w:gridSpan w:val="2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23695" w:rsidRPr="00323695" w:rsidRDefault="00323695" w:rsidP="003236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Примечание: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* Данные за 2019 год приведены </w:t>
                  </w:r>
                  <w:proofErr w:type="spellStart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справочно</w:t>
                  </w:r>
                  <w:proofErr w:type="spellEnd"/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3236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** В 2019 году реализация проектов осуществлялась в рамках основных  мероприятий 1,6,9 .</w:t>
                  </w:r>
                </w:p>
              </w:tc>
            </w:tr>
          </w:tbl>
          <w:p w:rsidR="0032369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3695" w:rsidRPr="008F3E45" w:rsidRDefault="00323695" w:rsidP="00CB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7C047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t>Сводные показатели муниципальных заданий</w:t>
      </w:r>
    </w:p>
    <w:p w:rsidR="004672C2" w:rsidRDefault="004672C2" w:rsidP="004672C2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253"/>
        <w:gridCol w:w="2815"/>
        <w:gridCol w:w="816"/>
        <w:gridCol w:w="816"/>
        <w:gridCol w:w="816"/>
        <w:gridCol w:w="816"/>
        <w:gridCol w:w="816"/>
        <w:gridCol w:w="816"/>
        <w:gridCol w:w="816"/>
        <w:gridCol w:w="870"/>
        <w:gridCol w:w="2735"/>
      </w:tblGrid>
      <w:tr w:rsidR="004672C2" w:rsidRPr="0021218F" w:rsidTr="005856E8">
        <w:trPr>
          <w:trHeight w:val="7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444886" w:rsidRPr="0021218F" w:rsidTr="005856E8"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0D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детей (</w:t>
            </w:r>
            <w:r w:rsidR="004672C2"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2728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0D510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="004672C2"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2271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2286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0" w:type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2376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2519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2559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263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27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2837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2969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0D5108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</w:tcPr>
          <w:p w:rsidR="004672C2" w:rsidRPr="0021218F" w:rsidRDefault="004672C2" w:rsidP="0044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</w:t>
            </w:r>
            <w:r w:rsidR="00444886">
              <w:rPr>
                <w:rFonts w:ascii="Times New Roman" w:eastAsia="Courier New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</w:tr>
      <w:tr w:rsidR="00444886" w:rsidRPr="0021218F" w:rsidTr="005856E8"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0D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Количество человеко-часов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овеко-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460038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</w:tcPr>
          <w:p w:rsidR="00444886" w:rsidRDefault="00444886">
            <w:r w:rsidRPr="00E37AC4"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  <w:tc>
          <w:tcPr>
            <w:tcW w:w="0" w:type="auto"/>
            <w:shd w:val="clear" w:color="auto" w:fill="auto"/>
          </w:tcPr>
          <w:p w:rsidR="00444886" w:rsidRPr="0021218F" w:rsidRDefault="00444886" w:rsidP="00202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419510</w:t>
            </w:r>
          </w:p>
        </w:tc>
      </w:tr>
    </w:tbl>
    <w:p w:rsidR="004672C2" w:rsidRDefault="004672C2" w:rsidP="008F30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7C0471">
        <w:rPr>
          <w:rFonts w:ascii="Times New Roman" w:eastAsia="Calibri" w:hAnsi="Times New Roman" w:cs="Times New Roman"/>
          <w:sz w:val="24"/>
          <w:szCs w:val="24"/>
        </w:rPr>
        <w:t>5</w:t>
      </w:r>
      <w:r w:rsidRPr="006C7B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18"/>
        <w:gridCol w:w="7727"/>
      </w:tblGrid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ind w:hanging="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18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риска</w:t>
            </w:r>
          </w:p>
        </w:tc>
        <w:tc>
          <w:tcPr>
            <w:tcW w:w="0" w:type="auto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Меры по преодолению рисков</w:t>
            </w:r>
          </w:p>
        </w:tc>
      </w:tr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8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C7BA1" w:rsidRPr="00586834" w:rsidTr="005856E8">
        <w:trPr>
          <w:trHeight w:val="801"/>
        </w:trPr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Финансово-экономические риски - недофинансирование мероприятий программы связаны с возможным недофинансированием ряда программных мероприятий, в которых предполагается </w:t>
            </w:r>
            <w:proofErr w:type="spell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по достижению целей муниципальной программы.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Минимизация данных рисков возможна через заключение договоров о реализации программных мероприятий, направленных на достижение целей муниципальной программы, через институционализацию механизмов </w:t>
            </w:r>
            <w:proofErr w:type="spell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C7BA1" w:rsidRPr="00586834" w:rsidTr="005856E8">
        <w:trPr>
          <w:trHeight w:val="565"/>
        </w:trPr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правовые риски - непринятие или несвоевременное принятие необходимых правовых актов, в том числе на федеральном и региональном уровнях, внесение существенных изменений в проекты нормативных правовых актов, влияющих на программные мероприятия.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Устранение риска возможно за счет своевременной подготовки нормативных правовых актов, регулирующих реализацию мероприятий муниципальной программы. Внесение изменений в действующие нормативные правовые акты и (или) принятие новых муниципальных правовых актов, касающихся сферы реализации муниципальной программы.</w:t>
            </w:r>
          </w:p>
        </w:tc>
      </w:tr>
      <w:tr w:rsidR="006C7BA1" w:rsidRPr="00586834" w:rsidTr="005856E8">
        <w:tc>
          <w:tcPr>
            <w:tcW w:w="675" w:type="dxa"/>
            <w:shd w:val="clear" w:color="auto" w:fill="auto"/>
            <w:hideMark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и управленческие риски -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муниципальной программы, несогласованности действий основного исполнителя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и соисполнителей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низкому качеству реализации программных мероприятий на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муниципальном 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уровне и уровне образовательных организаций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Устранение риска возможно за счет обеспечения постоянного и оперативного мониторинга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программы. Устранение (минимизация) рисков связано с качеством планирования реализации 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      </w:r>
            <w:r w:rsidR="007B3152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7BA1" w:rsidRPr="00586834" w:rsidTr="005856E8">
        <w:trPr>
          <w:trHeight w:val="756"/>
        </w:trPr>
        <w:tc>
          <w:tcPr>
            <w:tcW w:w="675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:rsidR="006C7BA1" w:rsidRPr="00586834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Социальные риски могут реализоваться в сопротивлении общественности изменениям, связанном с недостаточным освещением в средствах массовой информации, сети Интернет целей, задач и запланированных </w:t>
            </w:r>
            <w:r w:rsidR="001D1C45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программой результатов, с ошибками в реализации программных мероприятий, с планированием, недостаточно учитывающим социальные последствия.</w:t>
            </w:r>
          </w:p>
        </w:tc>
        <w:tc>
          <w:tcPr>
            <w:tcW w:w="0" w:type="auto"/>
            <w:shd w:val="clear" w:color="auto" w:fill="auto"/>
          </w:tcPr>
          <w:p w:rsidR="006C7BA1" w:rsidRPr="00586834" w:rsidRDefault="006C7BA1" w:rsidP="00F22C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 а также публичного освещения хода и результатов реализации </w:t>
            </w:r>
            <w:r w:rsidR="001D1C45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программы. Важно также демонстрировать достижения реализации </w:t>
            </w:r>
            <w:r w:rsidR="00F22C59"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муниципальной </w:t>
            </w: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 и формировать группы лидеров.</w:t>
            </w:r>
          </w:p>
        </w:tc>
      </w:tr>
    </w:tbl>
    <w:p w:rsidR="00F22C59" w:rsidRDefault="00F22C59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масштабные инвестиционные проекты (далее – инвестиционные проекты)</w:t>
      </w:r>
    </w:p>
    <w:p w:rsidR="007C0471" w:rsidRPr="008F3E45" w:rsidRDefault="007C0471" w:rsidP="007C0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6618"/>
        <w:gridCol w:w="2751"/>
        <w:gridCol w:w="6143"/>
      </w:tblGrid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C0471" w:rsidRPr="008F3E45" w:rsidTr="004E7544"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общеобразовательное учреждение 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618 738,6 тыс. рублей</w:t>
            </w:r>
          </w:p>
        </w:tc>
        <w:tc>
          <w:tcPr>
            <w:tcW w:w="0" w:type="auto"/>
            <w:shd w:val="clear" w:color="auto" w:fill="auto"/>
          </w:tcPr>
          <w:p w:rsidR="007C0471" w:rsidRPr="004E7544" w:rsidRDefault="007C0471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Создано 500 </w:t>
            </w:r>
            <w:r w:rsidR="004E7544"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новых </w:t>
            </w: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для учащихся общеобразовательных учреждений</w:t>
            </w:r>
          </w:p>
        </w:tc>
      </w:tr>
      <w:tr w:rsidR="00E57C78" w:rsidRPr="008F3E45" w:rsidTr="004E7544"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средой)</w:t>
            </w:r>
          </w:p>
        </w:tc>
        <w:tc>
          <w:tcPr>
            <w:tcW w:w="0" w:type="auto"/>
            <w:shd w:val="clear" w:color="auto" w:fill="auto"/>
          </w:tcPr>
          <w:p w:rsidR="00E57C78" w:rsidRDefault="00E57C78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1 242 298.3 </w:t>
            </w:r>
            <w:r w:rsidRPr="00897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  <w:tr w:rsidR="00E57C78" w:rsidRPr="008F3E45" w:rsidTr="004E7544"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E57C78" w:rsidRDefault="00E57C78">
            <w:r w:rsidRPr="00E57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1 242 298.3 тыс. рублей</w:t>
            </w:r>
          </w:p>
        </w:tc>
        <w:tc>
          <w:tcPr>
            <w:tcW w:w="0" w:type="auto"/>
            <w:shd w:val="clear" w:color="auto" w:fill="auto"/>
          </w:tcPr>
          <w:p w:rsidR="00E57C78" w:rsidRPr="004E7544" w:rsidRDefault="00E57C78" w:rsidP="00953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</w:tbl>
    <w:p w:rsidR="007C0471" w:rsidRDefault="007C0471" w:rsidP="00F22C5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22C59" w:rsidRPr="00F22C59" w:rsidRDefault="00F22C59" w:rsidP="00F22C5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</w:p>
    <w:p w:rsidR="00F22C59" w:rsidRDefault="00F22C59" w:rsidP="00F22C5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t>Перечень объектов капитального строительства</w:t>
      </w:r>
    </w:p>
    <w:p w:rsidR="004E7544" w:rsidRPr="00F22C59" w:rsidRDefault="004E7544" w:rsidP="00F22C5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8402"/>
        <w:gridCol w:w="1123"/>
        <w:gridCol w:w="2526"/>
        <w:gridCol w:w="3383"/>
      </w:tblGrid>
      <w:tr w:rsidR="00F56468" w:rsidRPr="00586834" w:rsidTr="004E7544"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F56468" w:rsidRPr="00586834" w:rsidTr="004E7544"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56468" w:rsidRPr="00586834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8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общеобразовательное учреждение 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46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средой)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2022 - 2024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4632C2" w:rsidRPr="00586834" w:rsidTr="004E7544">
        <w:tc>
          <w:tcPr>
            <w:tcW w:w="0" w:type="auto"/>
            <w:shd w:val="clear" w:color="auto" w:fill="auto"/>
          </w:tcPr>
          <w:p w:rsidR="004632C2" w:rsidRPr="00586834" w:rsidRDefault="004632C2" w:rsidP="007D2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32C2" w:rsidRPr="00586834" w:rsidRDefault="004632C2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2025 - 2027</w:t>
            </w:r>
          </w:p>
        </w:tc>
        <w:tc>
          <w:tcPr>
            <w:tcW w:w="0" w:type="auto"/>
            <w:shd w:val="clear" w:color="auto" w:fill="auto"/>
          </w:tcPr>
          <w:p w:rsidR="004632C2" w:rsidRPr="00586834" w:rsidRDefault="004632C2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F56468" w:rsidRPr="006C7BA1" w:rsidRDefault="00F56468" w:rsidP="00DC2D8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56468" w:rsidRPr="006C7BA1" w:rsidSect="00E256D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07" w:rsidRDefault="00DE3907" w:rsidP="00A43FC8">
      <w:pPr>
        <w:spacing w:after="0" w:line="240" w:lineRule="auto"/>
      </w:pPr>
      <w:r>
        <w:separator/>
      </w:r>
    </w:p>
  </w:endnote>
  <w:endnote w:type="continuationSeparator" w:id="0">
    <w:p w:rsidR="00DE3907" w:rsidRDefault="00DE3907" w:rsidP="00A4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07" w:rsidRDefault="00DE3907" w:rsidP="00A43FC8">
      <w:pPr>
        <w:spacing w:after="0" w:line="240" w:lineRule="auto"/>
      </w:pPr>
      <w:r>
        <w:separator/>
      </w:r>
    </w:p>
  </w:footnote>
  <w:footnote w:type="continuationSeparator" w:id="0">
    <w:p w:rsidR="00DE3907" w:rsidRDefault="00DE3907" w:rsidP="00A4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6A3"/>
    <w:rsid w:val="00005BEF"/>
    <w:rsid w:val="00015157"/>
    <w:rsid w:val="00021584"/>
    <w:rsid w:val="00026947"/>
    <w:rsid w:val="00060794"/>
    <w:rsid w:val="00060C4C"/>
    <w:rsid w:val="00062C34"/>
    <w:rsid w:val="00065815"/>
    <w:rsid w:val="000664DA"/>
    <w:rsid w:val="000668E4"/>
    <w:rsid w:val="00074421"/>
    <w:rsid w:val="000761D6"/>
    <w:rsid w:val="00085764"/>
    <w:rsid w:val="00085B3D"/>
    <w:rsid w:val="0008648B"/>
    <w:rsid w:val="000A60FE"/>
    <w:rsid w:val="000B7546"/>
    <w:rsid w:val="000C038A"/>
    <w:rsid w:val="000C5A21"/>
    <w:rsid w:val="000D4393"/>
    <w:rsid w:val="000D5108"/>
    <w:rsid w:val="000E4D0B"/>
    <w:rsid w:val="000F202D"/>
    <w:rsid w:val="00106952"/>
    <w:rsid w:val="0010730F"/>
    <w:rsid w:val="001142A4"/>
    <w:rsid w:val="0012469D"/>
    <w:rsid w:val="00130E31"/>
    <w:rsid w:val="0014303C"/>
    <w:rsid w:val="001573C7"/>
    <w:rsid w:val="00167C98"/>
    <w:rsid w:val="00172AA8"/>
    <w:rsid w:val="00176402"/>
    <w:rsid w:val="00181218"/>
    <w:rsid w:val="00183923"/>
    <w:rsid w:val="00184A3B"/>
    <w:rsid w:val="00185867"/>
    <w:rsid w:val="00187E66"/>
    <w:rsid w:val="001911F4"/>
    <w:rsid w:val="0019619C"/>
    <w:rsid w:val="0019620E"/>
    <w:rsid w:val="001A077E"/>
    <w:rsid w:val="001A1A02"/>
    <w:rsid w:val="001A705E"/>
    <w:rsid w:val="001C0CD4"/>
    <w:rsid w:val="001C2B52"/>
    <w:rsid w:val="001D1C45"/>
    <w:rsid w:val="001D20A0"/>
    <w:rsid w:val="001D2171"/>
    <w:rsid w:val="001D71EE"/>
    <w:rsid w:val="001F3F24"/>
    <w:rsid w:val="001F7D8F"/>
    <w:rsid w:val="00202A92"/>
    <w:rsid w:val="00202B24"/>
    <w:rsid w:val="00203510"/>
    <w:rsid w:val="00205915"/>
    <w:rsid w:val="0021218F"/>
    <w:rsid w:val="00214060"/>
    <w:rsid w:val="002178F2"/>
    <w:rsid w:val="0022663C"/>
    <w:rsid w:val="00234C13"/>
    <w:rsid w:val="00236F4B"/>
    <w:rsid w:val="00251761"/>
    <w:rsid w:val="00253513"/>
    <w:rsid w:val="00254FA7"/>
    <w:rsid w:val="002646A3"/>
    <w:rsid w:val="00272DEC"/>
    <w:rsid w:val="00283CE0"/>
    <w:rsid w:val="00292411"/>
    <w:rsid w:val="002A2E20"/>
    <w:rsid w:val="002A46E4"/>
    <w:rsid w:val="002A4C83"/>
    <w:rsid w:val="002B3E59"/>
    <w:rsid w:val="002C023E"/>
    <w:rsid w:val="002C0F7A"/>
    <w:rsid w:val="002C2B99"/>
    <w:rsid w:val="002C7CCA"/>
    <w:rsid w:val="002D44BF"/>
    <w:rsid w:val="002D57F1"/>
    <w:rsid w:val="002E2B81"/>
    <w:rsid w:val="002F4892"/>
    <w:rsid w:val="00302F69"/>
    <w:rsid w:val="00303979"/>
    <w:rsid w:val="0030604D"/>
    <w:rsid w:val="003123FE"/>
    <w:rsid w:val="00323695"/>
    <w:rsid w:val="00331C3D"/>
    <w:rsid w:val="00332714"/>
    <w:rsid w:val="00345DBF"/>
    <w:rsid w:val="00347F0B"/>
    <w:rsid w:val="0036307E"/>
    <w:rsid w:val="003702D7"/>
    <w:rsid w:val="00375777"/>
    <w:rsid w:val="00375C38"/>
    <w:rsid w:val="00383B9E"/>
    <w:rsid w:val="0039115B"/>
    <w:rsid w:val="00391F80"/>
    <w:rsid w:val="003B581C"/>
    <w:rsid w:val="003C1663"/>
    <w:rsid w:val="003C70DD"/>
    <w:rsid w:val="003C7715"/>
    <w:rsid w:val="003D3E7F"/>
    <w:rsid w:val="003D44FE"/>
    <w:rsid w:val="0040782F"/>
    <w:rsid w:val="00444886"/>
    <w:rsid w:val="004543BC"/>
    <w:rsid w:val="004632C2"/>
    <w:rsid w:val="004672C2"/>
    <w:rsid w:val="004811AC"/>
    <w:rsid w:val="004A266B"/>
    <w:rsid w:val="004B372D"/>
    <w:rsid w:val="004B5165"/>
    <w:rsid w:val="004C29F3"/>
    <w:rsid w:val="004E0357"/>
    <w:rsid w:val="004E33A2"/>
    <w:rsid w:val="004E5A14"/>
    <w:rsid w:val="004E7544"/>
    <w:rsid w:val="004F14D6"/>
    <w:rsid w:val="0050686D"/>
    <w:rsid w:val="00510996"/>
    <w:rsid w:val="00513561"/>
    <w:rsid w:val="00516156"/>
    <w:rsid w:val="00520660"/>
    <w:rsid w:val="00543897"/>
    <w:rsid w:val="00562232"/>
    <w:rsid w:val="005717DE"/>
    <w:rsid w:val="00571A64"/>
    <w:rsid w:val="00571D83"/>
    <w:rsid w:val="00581E54"/>
    <w:rsid w:val="005856E8"/>
    <w:rsid w:val="00586834"/>
    <w:rsid w:val="0059627B"/>
    <w:rsid w:val="005A4B3D"/>
    <w:rsid w:val="005B4EA9"/>
    <w:rsid w:val="005B6BDD"/>
    <w:rsid w:val="005C77BD"/>
    <w:rsid w:val="005D6F1E"/>
    <w:rsid w:val="005F48EA"/>
    <w:rsid w:val="00612414"/>
    <w:rsid w:val="006276A2"/>
    <w:rsid w:val="006556D4"/>
    <w:rsid w:val="00661FD6"/>
    <w:rsid w:val="00666C72"/>
    <w:rsid w:val="00667ADD"/>
    <w:rsid w:val="006739CC"/>
    <w:rsid w:val="006936A6"/>
    <w:rsid w:val="006A2361"/>
    <w:rsid w:val="006A364B"/>
    <w:rsid w:val="006B40B6"/>
    <w:rsid w:val="006C62CC"/>
    <w:rsid w:val="006C6A6C"/>
    <w:rsid w:val="006C7BA1"/>
    <w:rsid w:val="006D12EF"/>
    <w:rsid w:val="006D38CD"/>
    <w:rsid w:val="006E2FED"/>
    <w:rsid w:val="006F0B87"/>
    <w:rsid w:val="0070491E"/>
    <w:rsid w:val="0071583B"/>
    <w:rsid w:val="00717899"/>
    <w:rsid w:val="00720C08"/>
    <w:rsid w:val="00722D93"/>
    <w:rsid w:val="00730BCF"/>
    <w:rsid w:val="0073649F"/>
    <w:rsid w:val="00740BA7"/>
    <w:rsid w:val="00744218"/>
    <w:rsid w:val="007557CD"/>
    <w:rsid w:val="00763EE8"/>
    <w:rsid w:val="00766793"/>
    <w:rsid w:val="00777FC2"/>
    <w:rsid w:val="00787E45"/>
    <w:rsid w:val="007B3152"/>
    <w:rsid w:val="007C0471"/>
    <w:rsid w:val="007C6332"/>
    <w:rsid w:val="007C6F2B"/>
    <w:rsid w:val="007D25AA"/>
    <w:rsid w:val="007F289A"/>
    <w:rsid w:val="008139FA"/>
    <w:rsid w:val="00816A62"/>
    <w:rsid w:val="00816D31"/>
    <w:rsid w:val="008315E4"/>
    <w:rsid w:val="00832BE2"/>
    <w:rsid w:val="0085164A"/>
    <w:rsid w:val="00851D0A"/>
    <w:rsid w:val="00853887"/>
    <w:rsid w:val="008561B8"/>
    <w:rsid w:val="00856BA7"/>
    <w:rsid w:val="00861FCE"/>
    <w:rsid w:val="008638C8"/>
    <w:rsid w:val="00867A84"/>
    <w:rsid w:val="0087549F"/>
    <w:rsid w:val="00875CD0"/>
    <w:rsid w:val="00876352"/>
    <w:rsid w:val="00883462"/>
    <w:rsid w:val="00885D53"/>
    <w:rsid w:val="008A1E5D"/>
    <w:rsid w:val="008A4F9B"/>
    <w:rsid w:val="008B4C64"/>
    <w:rsid w:val="008C145B"/>
    <w:rsid w:val="008C5C4C"/>
    <w:rsid w:val="008D05A8"/>
    <w:rsid w:val="008D59D9"/>
    <w:rsid w:val="008E0B5F"/>
    <w:rsid w:val="008E255B"/>
    <w:rsid w:val="008E7188"/>
    <w:rsid w:val="008F056F"/>
    <w:rsid w:val="008F30FD"/>
    <w:rsid w:val="008F3E45"/>
    <w:rsid w:val="008F6EA3"/>
    <w:rsid w:val="00900E17"/>
    <w:rsid w:val="00905D3F"/>
    <w:rsid w:val="009114E7"/>
    <w:rsid w:val="00927A6A"/>
    <w:rsid w:val="00934F00"/>
    <w:rsid w:val="0094140E"/>
    <w:rsid w:val="00942E81"/>
    <w:rsid w:val="00953A27"/>
    <w:rsid w:val="00954A70"/>
    <w:rsid w:val="00960F91"/>
    <w:rsid w:val="00961B6E"/>
    <w:rsid w:val="009716B4"/>
    <w:rsid w:val="009756F8"/>
    <w:rsid w:val="00983B1E"/>
    <w:rsid w:val="0098468B"/>
    <w:rsid w:val="00991A65"/>
    <w:rsid w:val="00997D55"/>
    <w:rsid w:val="009A4A51"/>
    <w:rsid w:val="009B5742"/>
    <w:rsid w:val="009B7000"/>
    <w:rsid w:val="009C0991"/>
    <w:rsid w:val="009C3668"/>
    <w:rsid w:val="009C7729"/>
    <w:rsid w:val="009E5A68"/>
    <w:rsid w:val="009F4652"/>
    <w:rsid w:val="00A1522B"/>
    <w:rsid w:val="00A2149C"/>
    <w:rsid w:val="00A31A3E"/>
    <w:rsid w:val="00A40B8A"/>
    <w:rsid w:val="00A43FC8"/>
    <w:rsid w:val="00A47D73"/>
    <w:rsid w:val="00A547B3"/>
    <w:rsid w:val="00A55928"/>
    <w:rsid w:val="00A56CBB"/>
    <w:rsid w:val="00A608E1"/>
    <w:rsid w:val="00A67933"/>
    <w:rsid w:val="00A67C6F"/>
    <w:rsid w:val="00A7298A"/>
    <w:rsid w:val="00A73C2D"/>
    <w:rsid w:val="00A81B39"/>
    <w:rsid w:val="00A87876"/>
    <w:rsid w:val="00A91BCD"/>
    <w:rsid w:val="00AA21BB"/>
    <w:rsid w:val="00AA32A1"/>
    <w:rsid w:val="00AA3F34"/>
    <w:rsid w:val="00AA5889"/>
    <w:rsid w:val="00AC43DF"/>
    <w:rsid w:val="00AE2161"/>
    <w:rsid w:val="00AE6582"/>
    <w:rsid w:val="00AF241F"/>
    <w:rsid w:val="00AF5501"/>
    <w:rsid w:val="00B07D4F"/>
    <w:rsid w:val="00B16F5F"/>
    <w:rsid w:val="00B21A49"/>
    <w:rsid w:val="00B36F57"/>
    <w:rsid w:val="00B56BE0"/>
    <w:rsid w:val="00B572E3"/>
    <w:rsid w:val="00B61463"/>
    <w:rsid w:val="00B765E7"/>
    <w:rsid w:val="00B93A88"/>
    <w:rsid w:val="00B97F72"/>
    <w:rsid w:val="00BA29E4"/>
    <w:rsid w:val="00BA4DA9"/>
    <w:rsid w:val="00BA64C2"/>
    <w:rsid w:val="00BB6259"/>
    <w:rsid w:val="00BC6E91"/>
    <w:rsid w:val="00BD5EEC"/>
    <w:rsid w:val="00BF6095"/>
    <w:rsid w:val="00C050E1"/>
    <w:rsid w:val="00C11429"/>
    <w:rsid w:val="00C173FF"/>
    <w:rsid w:val="00C202E4"/>
    <w:rsid w:val="00C3144F"/>
    <w:rsid w:val="00C3197D"/>
    <w:rsid w:val="00C36DF3"/>
    <w:rsid w:val="00C6223F"/>
    <w:rsid w:val="00C644EE"/>
    <w:rsid w:val="00C666F7"/>
    <w:rsid w:val="00C80B55"/>
    <w:rsid w:val="00C8643C"/>
    <w:rsid w:val="00C925FA"/>
    <w:rsid w:val="00C95D07"/>
    <w:rsid w:val="00CA23D1"/>
    <w:rsid w:val="00CA3F10"/>
    <w:rsid w:val="00CB1D2F"/>
    <w:rsid w:val="00CC1DB1"/>
    <w:rsid w:val="00CD0725"/>
    <w:rsid w:val="00CD495B"/>
    <w:rsid w:val="00CF75C0"/>
    <w:rsid w:val="00D03F58"/>
    <w:rsid w:val="00D175C4"/>
    <w:rsid w:val="00D43FEE"/>
    <w:rsid w:val="00D52FA7"/>
    <w:rsid w:val="00D5345B"/>
    <w:rsid w:val="00D54EB5"/>
    <w:rsid w:val="00D64207"/>
    <w:rsid w:val="00D64EA5"/>
    <w:rsid w:val="00D820F8"/>
    <w:rsid w:val="00D84595"/>
    <w:rsid w:val="00D958E1"/>
    <w:rsid w:val="00DC04CC"/>
    <w:rsid w:val="00DC2D82"/>
    <w:rsid w:val="00DC7659"/>
    <w:rsid w:val="00DD7F10"/>
    <w:rsid w:val="00DE3907"/>
    <w:rsid w:val="00DF4180"/>
    <w:rsid w:val="00DF5537"/>
    <w:rsid w:val="00E11246"/>
    <w:rsid w:val="00E22ED4"/>
    <w:rsid w:val="00E256D4"/>
    <w:rsid w:val="00E57C78"/>
    <w:rsid w:val="00E60A1F"/>
    <w:rsid w:val="00E755F0"/>
    <w:rsid w:val="00E77EC0"/>
    <w:rsid w:val="00E84396"/>
    <w:rsid w:val="00E91D7C"/>
    <w:rsid w:val="00EA3795"/>
    <w:rsid w:val="00EB681C"/>
    <w:rsid w:val="00EC045B"/>
    <w:rsid w:val="00ED065A"/>
    <w:rsid w:val="00ED1124"/>
    <w:rsid w:val="00ED5A59"/>
    <w:rsid w:val="00EF0CC9"/>
    <w:rsid w:val="00EF48F7"/>
    <w:rsid w:val="00EF6447"/>
    <w:rsid w:val="00EF7D1B"/>
    <w:rsid w:val="00F04EA2"/>
    <w:rsid w:val="00F15BA9"/>
    <w:rsid w:val="00F22C59"/>
    <w:rsid w:val="00F258E7"/>
    <w:rsid w:val="00F27F1B"/>
    <w:rsid w:val="00F33F02"/>
    <w:rsid w:val="00F35512"/>
    <w:rsid w:val="00F37695"/>
    <w:rsid w:val="00F4699A"/>
    <w:rsid w:val="00F527EC"/>
    <w:rsid w:val="00F56468"/>
    <w:rsid w:val="00F62975"/>
    <w:rsid w:val="00F64201"/>
    <w:rsid w:val="00F6609D"/>
    <w:rsid w:val="00F80D4E"/>
    <w:rsid w:val="00F8400D"/>
    <w:rsid w:val="00F92618"/>
    <w:rsid w:val="00F93660"/>
    <w:rsid w:val="00FA1059"/>
    <w:rsid w:val="00FB720B"/>
    <w:rsid w:val="00FC2A2D"/>
    <w:rsid w:val="00FD6F8A"/>
    <w:rsid w:val="00FD7202"/>
    <w:rsid w:val="00FE0B01"/>
    <w:rsid w:val="00FE45AD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5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D25AA"/>
  </w:style>
  <w:style w:type="numbering" w:customStyle="1" w:styleId="41">
    <w:name w:val="Нет списка4"/>
    <w:next w:val="a2"/>
    <w:uiPriority w:val="99"/>
    <w:semiHidden/>
    <w:unhideWhenUsed/>
    <w:rsid w:val="008F3E45"/>
  </w:style>
  <w:style w:type="paragraph" w:customStyle="1" w:styleId="font6">
    <w:name w:val="font6"/>
    <w:basedOn w:val="a"/>
    <w:rsid w:val="0058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D25AA"/>
  </w:style>
  <w:style w:type="numbering" w:customStyle="1" w:styleId="41">
    <w:name w:val="Нет списка4"/>
    <w:next w:val="a2"/>
    <w:uiPriority w:val="99"/>
    <w:semiHidden/>
    <w:unhideWhenUsed/>
    <w:rsid w:val="008F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03020&amp;date=06.08.2019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https://login.consultant.ru/link/?req=doc&amp;base=LAW&amp;n=303020&amp;date=06.08.201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03020&amp;date=06.08.201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3020&amp;date=06.08.20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3020&amp;date=06.08.2019" TargetMode="External"/><Relationship Id="rId19" Type="http://schemas.openxmlformats.org/officeDocument/2006/relationships/hyperlink" Target="https://login.consultant.ru/link/?req=doc&amp;base=LAW&amp;n=303020&amp;date=06.08.20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218700&amp;date=06.08.2019&amp;dst=100009&amp;fld=134" TargetMode="External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FC5A-67A4-474B-BFBD-73851E19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9760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Нерода</cp:lastModifiedBy>
  <cp:revision>99</cp:revision>
  <cp:lastPrinted>2019-11-21T09:50:00Z</cp:lastPrinted>
  <dcterms:created xsi:type="dcterms:W3CDTF">2019-10-27T07:43:00Z</dcterms:created>
  <dcterms:modified xsi:type="dcterms:W3CDTF">2019-11-21T09:56:00Z</dcterms:modified>
</cp:coreProperties>
</file>