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65810" w:rsidRDefault="0013194D" w:rsidP="0076581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17 июня 2021 года</w:t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5810" w:rsidRPr="00765810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1085-п</w:t>
      </w:r>
    </w:p>
    <w:p w:rsidR="00765810" w:rsidRDefault="00765810" w:rsidP="0076581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15AAA" w:rsidRDefault="00315AAA" w:rsidP="0076581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65810" w:rsidRPr="00765810" w:rsidRDefault="00765810" w:rsidP="0076581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>Об утверждении Порядка определения</w:t>
      </w:r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минимального объема (суммы) обеспечения  </w:t>
      </w:r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исполнения обязательств принципала </w:t>
      </w:r>
      <w:proofErr w:type="gramStart"/>
      <w:r w:rsidRPr="00765810">
        <w:rPr>
          <w:rFonts w:ascii="PT Astra Serif" w:hAnsi="PT Astra Serif"/>
          <w:sz w:val="28"/>
          <w:szCs w:val="28"/>
        </w:rPr>
        <w:t>по</w:t>
      </w:r>
      <w:proofErr w:type="gramEnd"/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>удовлетворению регрессного требования</w:t>
      </w:r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гаранта к принципалу по </w:t>
      </w:r>
      <w:proofErr w:type="gramStart"/>
      <w:r w:rsidRPr="00765810">
        <w:rPr>
          <w:rFonts w:ascii="PT Astra Serif" w:hAnsi="PT Astra Serif"/>
          <w:sz w:val="28"/>
          <w:szCs w:val="28"/>
        </w:rPr>
        <w:t>муниципальной</w:t>
      </w:r>
      <w:proofErr w:type="gramEnd"/>
      <w:r w:rsidRPr="00765810">
        <w:rPr>
          <w:rFonts w:ascii="PT Astra Serif" w:hAnsi="PT Astra Serif"/>
          <w:sz w:val="28"/>
          <w:szCs w:val="28"/>
        </w:rPr>
        <w:t xml:space="preserve"> </w:t>
      </w:r>
    </w:p>
    <w:p w:rsidR="00765810" w:rsidRP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гарантии </w:t>
      </w:r>
    </w:p>
    <w:p w:rsid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15AAA" w:rsidRDefault="00315AAA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65810" w:rsidRDefault="00765810" w:rsidP="00765810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65810" w:rsidRPr="00765810" w:rsidRDefault="00765810" w:rsidP="00765810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В соответствии с пунктом 4 статьи 115.3 Бюджетного кодекса Российской Федерации: </w:t>
      </w:r>
    </w:p>
    <w:p w:rsidR="00765810" w:rsidRPr="00765810" w:rsidRDefault="00765810" w:rsidP="00765810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>1. Утвердить Порядок определения минимально</w:t>
      </w:r>
      <w:r>
        <w:rPr>
          <w:rFonts w:ascii="PT Astra Serif" w:hAnsi="PT Astra Serif"/>
          <w:sz w:val="28"/>
          <w:szCs w:val="28"/>
        </w:rPr>
        <w:t xml:space="preserve">го объема (суммы) обеспечения </w:t>
      </w:r>
      <w:r w:rsidRPr="00765810">
        <w:rPr>
          <w:rFonts w:ascii="PT Astra Serif" w:hAnsi="PT Astra Serif"/>
          <w:sz w:val="28"/>
          <w:szCs w:val="28"/>
        </w:rPr>
        <w:t>исполнения обязатель</w:t>
      </w:r>
      <w:proofErr w:type="gramStart"/>
      <w:r w:rsidRPr="00765810">
        <w:rPr>
          <w:rFonts w:ascii="PT Astra Serif" w:hAnsi="PT Astra Serif"/>
          <w:sz w:val="28"/>
          <w:szCs w:val="28"/>
        </w:rPr>
        <w:t>ств пр</w:t>
      </w:r>
      <w:proofErr w:type="gramEnd"/>
      <w:r w:rsidRPr="00765810">
        <w:rPr>
          <w:rFonts w:ascii="PT Astra Serif" w:hAnsi="PT Astra Serif"/>
          <w:sz w:val="28"/>
          <w:szCs w:val="28"/>
        </w:rPr>
        <w:t>инципала по удовлетворению регрессного требования гаранта к прин</w:t>
      </w:r>
      <w:r>
        <w:rPr>
          <w:rFonts w:ascii="PT Astra Serif" w:hAnsi="PT Astra Serif"/>
          <w:sz w:val="28"/>
          <w:szCs w:val="28"/>
        </w:rPr>
        <w:t xml:space="preserve">ципалу по муниципальной </w:t>
      </w:r>
      <w:r w:rsidRPr="00765810">
        <w:rPr>
          <w:rFonts w:ascii="PT Astra Serif" w:hAnsi="PT Astra Serif"/>
          <w:sz w:val="28"/>
          <w:szCs w:val="28"/>
        </w:rPr>
        <w:t>гарантии (приложение).</w:t>
      </w:r>
    </w:p>
    <w:p w:rsidR="00765810" w:rsidRPr="00765810" w:rsidRDefault="00765810" w:rsidP="00765810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765810">
        <w:rPr>
          <w:rFonts w:ascii="PT Astra Serif" w:hAnsi="PT Astra Serif"/>
          <w:sz w:val="28"/>
          <w:szCs w:val="28"/>
        </w:rPr>
        <w:t>Югорска</w:t>
      </w:r>
      <w:proofErr w:type="spellEnd"/>
      <w:r w:rsidRPr="00765810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765810">
        <w:rPr>
          <w:rFonts w:ascii="PT Astra Serif" w:hAnsi="PT Astra Serif"/>
          <w:sz w:val="28"/>
          <w:szCs w:val="28"/>
        </w:rPr>
        <w:t>Югорска</w:t>
      </w:r>
      <w:proofErr w:type="spellEnd"/>
      <w:r w:rsidRPr="00765810">
        <w:rPr>
          <w:rFonts w:ascii="PT Astra Serif" w:hAnsi="PT Astra Serif"/>
          <w:sz w:val="28"/>
          <w:szCs w:val="28"/>
        </w:rPr>
        <w:t xml:space="preserve">. </w:t>
      </w:r>
    </w:p>
    <w:p w:rsidR="00765810" w:rsidRPr="00765810" w:rsidRDefault="00765810" w:rsidP="0076581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765810">
        <w:rPr>
          <w:rFonts w:ascii="PT Astra Serif" w:hAnsi="PT Astra Serif"/>
          <w:sz w:val="28"/>
          <w:szCs w:val="28"/>
        </w:rPr>
        <w:t xml:space="preserve"> опубликования.</w:t>
      </w:r>
    </w:p>
    <w:p w:rsidR="00765810" w:rsidRPr="00765810" w:rsidRDefault="00765810" w:rsidP="00765810">
      <w:pPr>
        <w:spacing w:line="276" w:lineRule="auto"/>
        <w:ind w:firstLine="709"/>
        <w:jc w:val="both"/>
        <w:rPr>
          <w:rFonts w:ascii="PT Astra Serif" w:hAnsi="PT Astra Serif" w:cstheme="minorBidi"/>
          <w:sz w:val="28"/>
          <w:szCs w:val="28"/>
        </w:rPr>
      </w:pPr>
      <w:r w:rsidRPr="00765810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</w:t>
      </w:r>
      <w:proofErr w:type="gramStart"/>
      <w:r w:rsidRPr="00765810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765810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765810">
        <w:rPr>
          <w:rFonts w:ascii="PT Astra Serif" w:hAnsi="PT Astra Serif"/>
          <w:sz w:val="28"/>
          <w:szCs w:val="28"/>
        </w:rPr>
        <w:t xml:space="preserve"> И.Ю. Мальцеву.</w:t>
      </w:r>
    </w:p>
    <w:p w:rsidR="00765810" w:rsidRDefault="00765810" w:rsidP="00765810">
      <w:pPr>
        <w:pStyle w:val="3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765810" w:rsidRDefault="00765810" w:rsidP="00765810">
      <w:pPr>
        <w:pStyle w:val="3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765810" w:rsidRPr="00765810" w:rsidRDefault="00765810" w:rsidP="0076581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65810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765810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65810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</w:t>
      </w:r>
      <w:r w:rsidRPr="00765810">
        <w:rPr>
          <w:rFonts w:ascii="PT Astra Serif" w:hAnsi="PT Astra Serif"/>
          <w:b/>
          <w:sz w:val="28"/>
          <w:szCs w:val="28"/>
        </w:rPr>
        <w:t>А.В. Бородкин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765810" w:rsidRDefault="00765810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администрации</w:t>
      </w: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города </w:t>
      </w:r>
      <w:proofErr w:type="spellStart"/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</w:p>
    <w:p w:rsidR="00765810" w:rsidRPr="00765810" w:rsidRDefault="0013194D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от 17июня 2021 года №1085-п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Theme="minorEastAsia" w:hAnsi="PT Astra Serif"/>
          <w:b/>
          <w:sz w:val="28"/>
          <w:szCs w:val="28"/>
          <w:lang w:eastAsia="ru-RU"/>
        </w:rPr>
      </w:pPr>
      <w:r w:rsidRPr="00765810">
        <w:rPr>
          <w:rFonts w:ascii="PT Astra Serif" w:hAnsi="PT Astra Serif"/>
          <w:b/>
          <w:sz w:val="28"/>
          <w:szCs w:val="28"/>
        </w:rPr>
        <w:t>Порядок определения минимально</w:t>
      </w:r>
      <w:r>
        <w:rPr>
          <w:rFonts w:ascii="PT Astra Serif" w:hAnsi="PT Astra Serif"/>
          <w:b/>
          <w:sz w:val="28"/>
          <w:szCs w:val="28"/>
        </w:rPr>
        <w:t xml:space="preserve">го объема (суммы) обеспечения </w:t>
      </w:r>
      <w:r w:rsidRPr="00765810">
        <w:rPr>
          <w:rFonts w:ascii="PT Astra Serif" w:hAnsi="PT Astra Serif"/>
          <w:b/>
          <w:sz w:val="28"/>
          <w:szCs w:val="28"/>
        </w:rPr>
        <w:t>исполнения обязатель</w:t>
      </w:r>
      <w:proofErr w:type="gramStart"/>
      <w:r w:rsidRPr="00765810">
        <w:rPr>
          <w:rFonts w:ascii="PT Astra Serif" w:hAnsi="PT Astra Serif"/>
          <w:b/>
          <w:sz w:val="28"/>
          <w:szCs w:val="28"/>
        </w:rPr>
        <w:t>ств пр</w:t>
      </w:r>
      <w:proofErr w:type="gramEnd"/>
      <w:r w:rsidRPr="00765810">
        <w:rPr>
          <w:rFonts w:ascii="PT Astra Serif" w:hAnsi="PT Astra Serif"/>
          <w:b/>
          <w:sz w:val="28"/>
          <w:szCs w:val="28"/>
        </w:rPr>
        <w:t>инципала по удовлетворению регрессного требования гаранта</w:t>
      </w:r>
      <w:r>
        <w:rPr>
          <w:rFonts w:ascii="PT Astra Serif" w:hAnsi="PT Astra Serif"/>
          <w:b/>
          <w:sz w:val="28"/>
          <w:szCs w:val="28"/>
        </w:rPr>
        <w:t xml:space="preserve"> к принципалу по муниципальной </w:t>
      </w:r>
      <w:r w:rsidRPr="00765810">
        <w:rPr>
          <w:rFonts w:ascii="PT Astra Serif" w:hAnsi="PT Astra Serif"/>
          <w:b/>
          <w:sz w:val="28"/>
          <w:szCs w:val="28"/>
        </w:rPr>
        <w:t>гарантии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 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Настоящий по</w:t>
      </w:r>
      <w:bookmarkStart w:id="0" w:name="_GoBack"/>
      <w:bookmarkEnd w:id="0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рядок разработан в целях реализации положений Бюджетного </w:t>
      </w:r>
      <w:hyperlink r:id="rId9" w:history="1">
        <w:r w:rsidRPr="00765810">
          <w:rPr>
            <w:rStyle w:val="ae"/>
            <w:rFonts w:ascii="PT Astra Serif" w:eastAsia="Calibri" w:hAnsi="PT Astra Serif"/>
            <w:color w:val="000000"/>
            <w:sz w:val="28"/>
            <w:szCs w:val="28"/>
            <w:lang w:eastAsia="en-US"/>
          </w:rPr>
          <w:t>кодекса</w:t>
        </w:r>
      </w:hyperlink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Российской Федерации в части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</w:t>
      </w: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(далее - муниципальная гарантия) в зависимости от степени удовлетворительности финансового состояния претендента на получение муниципальной гарантии, принципала (далее - минимального объема (суммы) обеспечения).</w:t>
      </w:r>
      <w:proofErr w:type="gramEnd"/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2. Понятия и термины, используемые в настоящем порядке, применяются в значениях, установленных Бюджетным </w:t>
      </w:r>
      <w:hyperlink r:id="rId10" w:history="1">
        <w:r w:rsidRPr="00315AAA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кодексом</w:t>
        </w:r>
      </w:hyperlink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Российской Федерации, Гражданским </w:t>
      </w:r>
      <w:hyperlink r:id="rId11" w:history="1">
        <w:r w:rsidRPr="00765810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кодексом</w:t>
        </w:r>
      </w:hyperlink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3. Определение минимального объема (суммы) обеспечения осуществляется департаментом финансов: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- при предоставлении муниципальной гарантии;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- после предоставления муниципальной гарантии при определении достаточности предоставленного обеспечения.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4. Минимальный объем (сумма) обеспечения при предоставлении муниципальной гарантии определяется на основании: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- копии кредитного договора, в обеспечение исполнения обязательств 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 которому предоставляется муниципальная гарантия (со всеми дополнениями и приложениями), а в случае его отсутствия - согласованного кредитором проекта договора или письма, подтверждающего его готовность предоставить денежные средства лицу, претендующему на получение муниципальной гарантии, предоставляемых претендентом на получение муниципальной гарантии, в соответствии с </w:t>
      </w:r>
      <w:hyperlink r:id="rId12" w:history="1">
        <w:r w:rsidRPr="00315AAA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перечнем</w:t>
        </w:r>
      </w:hyperlink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документов, установленным постановлением администрации города;</w:t>
      </w:r>
      <w:proofErr w:type="gramEnd"/>
    </w:p>
    <w:p w:rsidR="00765810" w:rsidRPr="00765810" w:rsidRDefault="00765810" w:rsidP="00765810">
      <w:pPr>
        <w:pStyle w:val="1"/>
        <w:keepNext w:val="0"/>
        <w:autoSpaceDE w:val="0"/>
        <w:autoSpaceDN w:val="0"/>
        <w:adjustRightInd w:val="0"/>
        <w:spacing w:before="0" w:line="276" w:lineRule="auto"/>
        <w:jc w:val="both"/>
        <w:rPr>
          <w:rFonts w:ascii="PT Astra Serif" w:eastAsiaTheme="minorEastAsia" w:hAnsi="PT Astra Serif" w:cs="Courier New"/>
          <w:b w:val="0"/>
          <w:color w:val="auto"/>
          <w:lang w:eastAsia="ru-RU"/>
        </w:rPr>
      </w:pPr>
      <w:r w:rsidRPr="00765810">
        <w:rPr>
          <w:rFonts w:ascii="PT Astra Serif" w:eastAsia="Calibri" w:hAnsi="PT Astra Serif"/>
          <w:b w:val="0"/>
          <w:color w:val="000000"/>
          <w:lang w:eastAsia="en-US"/>
        </w:rPr>
        <w:lastRenderedPageBreak/>
        <w:t xml:space="preserve">         -</w:t>
      </w:r>
      <w:r w:rsidRPr="00765810">
        <w:rPr>
          <w:rFonts w:ascii="PT Astra Serif" w:eastAsiaTheme="minorEastAsia" w:hAnsi="PT Astra Serif" w:cs="Courier New"/>
          <w:b w:val="0"/>
          <w:bCs w:val="0"/>
        </w:rPr>
        <w:t xml:space="preserve"> </w:t>
      </w:r>
      <w:r w:rsidRPr="00765810">
        <w:rPr>
          <w:rFonts w:ascii="PT Astra Serif" w:eastAsia="Calibri" w:hAnsi="PT Astra Serif"/>
          <w:b w:val="0"/>
          <w:color w:val="000000"/>
          <w:lang w:eastAsia="en-US"/>
        </w:rPr>
        <w:t xml:space="preserve">заключения </w:t>
      </w:r>
      <w:proofErr w:type="gramStart"/>
      <w:r w:rsidRPr="00765810">
        <w:rPr>
          <w:rFonts w:ascii="PT Astra Serif" w:eastAsia="Calibri" w:hAnsi="PT Astra Serif"/>
          <w:b w:val="0"/>
          <w:color w:val="000000"/>
          <w:lang w:eastAsia="en-US"/>
        </w:rPr>
        <w:t xml:space="preserve">департамента финансов администрации города </w:t>
      </w:r>
      <w:proofErr w:type="spellStart"/>
      <w:r w:rsidRPr="00765810">
        <w:rPr>
          <w:rFonts w:ascii="PT Astra Serif" w:eastAsia="Calibri" w:hAnsi="PT Astra Serif"/>
          <w:b w:val="0"/>
          <w:color w:val="000000"/>
          <w:lang w:eastAsia="en-US"/>
        </w:rPr>
        <w:t>Югорска</w:t>
      </w:r>
      <w:proofErr w:type="spellEnd"/>
      <w:proofErr w:type="gramEnd"/>
      <w:r w:rsidRPr="00765810">
        <w:rPr>
          <w:rFonts w:ascii="PT Astra Serif" w:eastAsia="Calibri" w:hAnsi="PT Astra Serif"/>
          <w:b w:val="0"/>
          <w:color w:val="000000"/>
          <w:lang w:eastAsia="en-US"/>
        </w:rPr>
        <w:t xml:space="preserve"> о текущем финансовом состоянии претендента на получение муниципальной гарантии, с указанием степени удовлетворительности его финансового состояния, подготовленного в порядке, установленном администрацией города </w:t>
      </w:r>
      <w:proofErr w:type="spellStart"/>
      <w:r w:rsidRPr="00765810">
        <w:rPr>
          <w:rFonts w:ascii="PT Astra Serif" w:eastAsia="Calibri" w:hAnsi="PT Astra Serif"/>
          <w:b w:val="0"/>
          <w:color w:val="000000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b w:val="0"/>
          <w:color w:val="000000"/>
          <w:lang w:eastAsia="en-US"/>
        </w:rPr>
        <w:t>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theme="minorBidi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5. Минимальный объем (сумма) обеспечения после предоставления муниципальной гарантии определяется на основании: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- выписок по расчетному счету принципала о списании денежных средств либо выписок по ссудным счетам принципала о погашении кредитов, а также по счетам учета процентов об уплате процентов, подписанных уполномоченными лицами бенефициара и заверенных печатью бенефициара, либо копий платежных поручений принципала о перечислении денежных средств бенефициару с отметкой, подтверждающих частичное или полное исполнение принципалом, третьими лицами, гарантом гарантированных обязательств по кредитному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договору, 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предоставляемых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бенефициаром в соответствии с договором о предоставлении муниципальной гарантии;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- заключения 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департамента финансов администрации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 результатах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гарантии, подготовленного в порядке, установленном администрацией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6. Сроки определения минимального объема (суммы) обеспечения устанавливаются: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- при предоставлении муниципальной гарантии – в процессе анализа финансового состояния принципала, проводимого в соответствии с постановлением администрации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- после предоставления муниципальной гарантии - договором о предоставлении муниципальной гарантии.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7. Для принципалов, степень финансового состояния которых определена как неудовлетворительная, финансовое состояние признается неудовлетворительным и минимальный объем (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суммы) 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обеспечения не определяется.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8. Минимальный объем (сумма) обеспечения исполнения обязатель</w:t>
      </w:r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 пр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инципала по удовлетворению регрессного требования гаранта к принципалу по муниципальной гарантии,  финансовое состояние  которого оценено в соответствии с порядком проведения анализа финансового состояния принципала, утвержденным постановлением администрации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,  как удовлетворительное составляет: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8.1. При предоставлении муниципальной гарантии: 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8.1.1. По банковской гарантии и поручительству юридического лица в объеме 100 процентов от объема обязательств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</w:t>
      </w:r>
      <w:r w:rsidR="00315AAA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орска</w:t>
      </w:r>
      <w:proofErr w:type="spellEnd"/>
      <w:r w:rsidR="00315AAA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муниципальной гарантии:</w:t>
      </w: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8.1.2. По имуществу, передаваемому в залог, в объеме 120 процентов от объема  обязательств города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муниципальной гарантии.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8.2. После предоставления муниципальной гарантии рассчитывается по формуле: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spellStart"/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pg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=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Смг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- </w:t>
      </w: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Сио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где: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spellStart"/>
      <w:proofErr w:type="gram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proofErr w:type="gram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pg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- минимальный объем (сумма) обеспечения после предоставления муниципальной гарантии;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Смг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- сумма предоставленной муниципальной гарантии;</w:t>
      </w:r>
    </w:p>
    <w:p w:rsidR="00765810" w:rsidRPr="00765810" w:rsidRDefault="00765810" w:rsidP="0076581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spellStart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Сио</w:t>
      </w:r>
      <w:proofErr w:type="spellEnd"/>
      <w:r w:rsidRPr="00765810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- сумма исполнения принципалом гарантированных обязательств (подтвержденная платежными поручениями принципала либо выпиской по ссудному счету). </w:t>
      </w:r>
    </w:p>
    <w:sectPr w:rsidR="00765810" w:rsidRPr="00765810" w:rsidSect="00765810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D2" w:rsidRDefault="00AE10D2" w:rsidP="003C5141">
      <w:r>
        <w:separator/>
      </w:r>
    </w:p>
  </w:endnote>
  <w:endnote w:type="continuationSeparator" w:id="0">
    <w:p w:rsidR="00AE10D2" w:rsidRDefault="00AE10D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D2" w:rsidRDefault="00AE10D2" w:rsidP="003C5141">
      <w:r>
        <w:separator/>
      </w:r>
    </w:p>
  </w:footnote>
  <w:footnote w:type="continuationSeparator" w:id="0">
    <w:p w:rsidR="00AE10D2" w:rsidRDefault="00AE10D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02844"/>
      <w:docPartObj>
        <w:docPartGallery w:val="Page Numbers (Top of Page)"/>
        <w:docPartUnique/>
      </w:docPartObj>
    </w:sdtPr>
    <w:sdtEndPr/>
    <w:sdtContent>
      <w:p w:rsidR="00765810" w:rsidRDefault="007658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94D">
          <w:rPr>
            <w:noProof/>
          </w:rPr>
          <w:t>2</w:t>
        </w:r>
        <w:r>
          <w:fldChar w:fldCharType="end"/>
        </w:r>
      </w:p>
    </w:sdtContent>
  </w:sdt>
  <w:p w:rsidR="00765810" w:rsidRDefault="007658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194D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15AAA"/>
    <w:rsid w:val="003642AD"/>
    <w:rsid w:val="0037056B"/>
    <w:rsid w:val="003C5141"/>
    <w:rsid w:val="003D688F"/>
    <w:rsid w:val="00423003"/>
    <w:rsid w:val="004B0DBB"/>
    <w:rsid w:val="004B28A6"/>
    <w:rsid w:val="004C6A75"/>
    <w:rsid w:val="004F1CC6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65810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E10D2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5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658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581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7658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765810"/>
    <w:rPr>
      <w:b/>
      <w:bCs/>
      <w:color w:val="000080"/>
    </w:rPr>
  </w:style>
  <w:style w:type="character" w:styleId="ae">
    <w:name w:val="Hyperlink"/>
    <w:basedOn w:val="a0"/>
    <w:uiPriority w:val="99"/>
    <w:semiHidden/>
    <w:unhideWhenUsed/>
    <w:rsid w:val="00765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5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658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581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7658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765810"/>
    <w:rPr>
      <w:b/>
      <w:bCs/>
      <w:color w:val="000080"/>
    </w:rPr>
  </w:style>
  <w:style w:type="character" w:styleId="ae">
    <w:name w:val="Hyperlink"/>
    <w:basedOn w:val="a0"/>
    <w:uiPriority w:val="99"/>
    <w:semiHidden/>
    <w:unhideWhenUsed/>
    <w:rsid w:val="00765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7B7BE2BDBB58CFCDE15B88AF3F2027FF3486BB454A99449081572930937EE4651E7517CC61DA6992F076DFAE257E6F6E9DD9BA1321E1B685AC44D5x31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7B7BE2BDBB58CFCDE14585B9537728FA38D8B4414E9A12C9D7517E6FC378B1375E2B4E8F24C96896EE72DBAFx21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7B7BE2BDBB58CFCDE14585B9537728FA3ADDBF404C9A12C9D7517E6FC378B1375E2B4E8F24C96896EE72DBAFx21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7B7BE2BDBB58CFCDE14585B9537728FA3ADDBF404C9A12C9D7517E6FC378B1255E73468A21D663C6A1348EA02E2B202ACCCAB8123DxE1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2021-06-17T06:33:00Z</dcterms:modified>
</cp:coreProperties>
</file>