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BC1439" w:rsidP="00B11FA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01 сентября 2022 года </w:t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11FA5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№ 1870-п</w:t>
      </w:r>
    </w:p>
    <w:p w:rsidR="00BC1439" w:rsidRPr="00B11FA5" w:rsidRDefault="00BC1439" w:rsidP="00B11FA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B11FA5" w:rsidRDefault="00A44F85" w:rsidP="00B11FA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B11FA5" w:rsidRDefault="00F5265D" w:rsidP="00B11FA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  <w:r w:rsidRPr="00B11FA5">
        <w:rPr>
          <w:rFonts w:ascii="PT Astra Serif" w:hAnsi="PT Astra Serif"/>
          <w:sz w:val="28"/>
          <w:szCs w:val="28"/>
        </w:rPr>
        <w:t>Об утверждении перечня мест</w:t>
      </w: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  <w:r w:rsidRPr="00B11FA5">
        <w:rPr>
          <w:rFonts w:ascii="PT Astra Serif" w:hAnsi="PT Astra Serif"/>
          <w:sz w:val="28"/>
          <w:szCs w:val="28"/>
        </w:rPr>
        <w:t>на территории города Югорска, на которые</w:t>
      </w: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  <w:r w:rsidRPr="00B11FA5">
        <w:rPr>
          <w:rFonts w:ascii="PT Astra Serif" w:hAnsi="PT Astra Serif"/>
          <w:sz w:val="28"/>
          <w:szCs w:val="28"/>
        </w:rPr>
        <w:t>запрещается возвращать животных без вл</w:t>
      </w:r>
      <w:bookmarkStart w:id="0" w:name="_GoBack"/>
      <w:bookmarkEnd w:id="0"/>
      <w:r w:rsidRPr="00B11FA5">
        <w:rPr>
          <w:rFonts w:ascii="PT Astra Serif" w:hAnsi="PT Astra Serif"/>
          <w:sz w:val="28"/>
          <w:szCs w:val="28"/>
        </w:rPr>
        <w:t>адельцев</w:t>
      </w: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  <w:r w:rsidRPr="00B11FA5">
        <w:rPr>
          <w:rFonts w:ascii="PT Astra Serif" w:hAnsi="PT Astra Serif"/>
          <w:sz w:val="28"/>
          <w:szCs w:val="28"/>
        </w:rPr>
        <w:t>и об определении уполномоченного лица за принятие</w:t>
      </w: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  <w:r w:rsidRPr="00B11FA5">
        <w:rPr>
          <w:rFonts w:ascii="PT Astra Serif" w:hAnsi="PT Astra Serif"/>
          <w:sz w:val="28"/>
          <w:szCs w:val="28"/>
        </w:rPr>
        <w:t>решений о возврате животных без владельцев</w:t>
      </w: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прежние места обитания</w:t>
      </w:r>
    </w:p>
    <w:p w:rsid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11FA5" w:rsidRPr="00B11FA5" w:rsidRDefault="00B11FA5" w:rsidP="00B11FA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11FA5" w:rsidRPr="00B11FA5" w:rsidRDefault="00B11FA5" w:rsidP="00B11FA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11FA5">
        <w:rPr>
          <w:rFonts w:ascii="PT Astra Serif" w:hAnsi="PT Astra Serif"/>
          <w:sz w:val="28"/>
          <w:szCs w:val="28"/>
          <w:lang w:eastAsia="ru-RU"/>
        </w:rPr>
        <w:t xml:space="preserve">В соответствии с частью 6.1 статьи 18 Федерального закона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B11FA5">
        <w:rPr>
          <w:rFonts w:ascii="PT Astra Serif" w:hAnsi="PT Astra Serif"/>
          <w:sz w:val="28"/>
          <w:szCs w:val="28"/>
          <w:lang w:eastAsia="ru-RU"/>
        </w:rPr>
        <w:t>от 27.12.2018 № 498-ФЗ «Об ответственном обращении с животными и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B11FA5">
        <w:rPr>
          <w:rFonts w:ascii="PT Astra Serif" w:hAnsi="PT Astra Serif"/>
          <w:sz w:val="28"/>
          <w:szCs w:val="28"/>
          <w:lang w:eastAsia="ru-RU"/>
        </w:rPr>
        <w:t xml:space="preserve"> о внесении изменений в отдельные законодательные акты Российской Федерации», законом Ханты-Мансийского автономного округа – Югры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B11FA5">
        <w:rPr>
          <w:rFonts w:ascii="PT Astra Serif" w:hAnsi="PT Astra Serif"/>
          <w:sz w:val="28"/>
          <w:szCs w:val="28"/>
          <w:lang w:eastAsia="ru-RU"/>
        </w:rPr>
        <w:t xml:space="preserve"> от 10.12.2019 № 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11FA5">
        <w:rPr>
          <w:rFonts w:ascii="PT Astra Serif" w:hAnsi="PT Astra Serif"/>
          <w:sz w:val="28"/>
          <w:szCs w:val="28"/>
          <w:lang w:eastAsia="ru-RU"/>
        </w:rPr>
        <w:t>осуществлении деятельности по</w:t>
      </w:r>
      <w:proofErr w:type="gramEnd"/>
      <w:r w:rsidRPr="00B11FA5">
        <w:rPr>
          <w:rFonts w:ascii="PT Astra Serif" w:hAnsi="PT Astra Serif"/>
          <w:sz w:val="28"/>
          <w:szCs w:val="28"/>
          <w:lang w:eastAsia="ru-RU"/>
        </w:rPr>
        <w:t xml:space="preserve"> обращению с животными без владельцев», постановляю: </w:t>
      </w:r>
    </w:p>
    <w:p w:rsidR="00B11FA5" w:rsidRPr="00B11FA5" w:rsidRDefault="00B11FA5" w:rsidP="00B11FA5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Утвердить перечень мест на территории города Югорска, на которые запрещается возвращать животных без владельцев (приложение).</w:t>
      </w:r>
    </w:p>
    <w:p w:rsidR="00B11FA5" w:rsidRPr="00B11FA5" w:rsidRDefault="00B11FA5" w:rsidP="00B11FA5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Определить заместителя главы города – директора департамента жилищно-коммунального и строительного комплекса администрации города Югорска уполномоченным лицом за принятие решений о возврате животных без владельцев на прежние места обитания животных без владельцев.</w:t>
      </w:r>
    </w:p>
    <w:p w:rsidR="00B11FA5" w:rsidRPr="00B11FA5" w:rsidRDefault="00B11FA5" w:rsidP="00B11FA5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lastRenderedPageBreak/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11FA5" w:rsidRPr="00B11FA5" w:rsidRDefault="00B11FA5" w:rsidP="00B11FA5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B11FA5" w:rsidRPr="00B11FA5" w:rsidRDefault="00B11FA5" w:rsidP="00B11FA5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11FA5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B11FA5">
        <w:rPr>
          <w:rFonts w:ascii="PT Astra Serif" w:hAnsi="PT Astra Serif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11FA5" w:rsidRDefault="00B11FA5" w:rsidP="00B11FA5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11FA5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Глава города Югорска                      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           </w:t>
      </w:r>
      <w:r w:rsidRPr="00B11FA5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А.Ю. Харлов</w:t>
      </w: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11FA5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11FA5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11FA5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11FA5" w:rsidRPr="00B11FA5" w:rsidRDefault="00BC1439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01 сентября 2022 года № 1870-п</w:t>
      </w: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Перечень мест, на территорию которых запрещается возвращать животных без владельцев в городе Югорске:</w:t>
      </w:r>
    </w:p>
    <w:p w:rsidR="00B11FA5" w:rsidRPr="00B11FA5" w:rsidRDefault="00B11FA5" w:rsidP="00B11FA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Парки, скверы.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Железнодорожный вокзал.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Медицинские организации.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Торговые центры, торгово-развлекательные центры.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Образовательные организации.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 xml:space="preserve">Учреждения культуры. 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Детские и спортивные площадки.</w:t>
      </w:r>
    </w:p>
    <w:p w:rsidR="00B11FA5" w:rsidRPr="00B11FA5" w:rsidRDefault="00B11FA5" w:rsidP="00B11FA5">
      <w:pPr>
        <w:pStyle w:val="a5"/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1FA5">
        <w:rPr>
          <w:rFonts w:ascii="PT Astra Serif" w:hAnsi="PT Astra Serif"/>
          <w:sz w:val="28"/>
          <w:szCs w:val="28"/>
          <w:lang w:eastAsia="ru-RU"/>
        </w:rPr>
        <w:t>Физкультурно-спортивные комплексы и стадионы.</w:t>
      </w: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564E2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A" w:rsidRDefault="0048051A" w:rsidP="003C5141">
      <w:r>
        <w:separator/>
      </w:r>
    </w:p>
  </w:endnote>
  <w:endnote w:type="continuationSeparator" w:id="0">
    <w:p w:rsidR="0048051A" w:rsidRDefault="004805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A" w:rsidRDefault="0048051A" w:rsidP="003C5141">
      <w:r>
        <w:separator/>
      </w:r>
    </w:p>
  </w:footnote>
  <w:footnote w:type="continuationSeparator" w:id="0">
    <w:p w:rsidR="0048051A" w:rsidRDefault="004805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2725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B11FA5" w:rsidRPr="00B11FA5" w:rsidRDefault="00B11FA5" w:rsidP="00B11FA5">
        <w:pPr>
          <w:pStyle w:val="a8"/>
          <w:jc w:val="center"/>
          <w:rPr>
            <w:rFonts w:ascii="PT Astra Serif" w:hAnsi="PT Astra Serif"/>
            <w:sz w:val="22"/>
          </w:rPr>
        </w:pPr>
        <w:r w:rsidRPr="00B11FA5">
          <w:rPr>
            <w:rFonts w:ascii="PT Astra Serif" w:hAnsi="PT Astra Serif"/>
            <w:sz w:val="22"/>
          </w:rPr>
          <w:fldChar w:fldCharType="begin"/>
        </w:r>
        <w:r w:rsidRPr="00B11FA5">
          <w:rPr>
            <w:rFonts w:ascii="PT Astra Serif" w:hAnsi="PT Astra Serif"/>
            <w:sz w:val="22"/>
          </w:rPr>
          <w:instrText>PAGE   \* MERGEFORMAT</w:instrText>
        </w:r>
        <w:r w:rsidRPr="00B11FA5">
          <w:rPr>
            <w:rFonts w:ascii="PT Astra Serif" w:hAnsi="PT Astra Serif"/>
            <w:sz w:val="22"/>
          </w:rPr>
          <w:fldChar w:fldCharType="separate"/>
        </w:r>
        <w:r w:rsidR="00564E25">
          <w:rPr>
            <w:rFonts w:ascii="PT Astra Serif" w:hAnsi="PT Astra Serif"/>
            <w:noProof/>
            <w:sz w:val="22"/>
          </w:rPr>
          <w:t>3</w:t>
        </w:r>
        <w:r w:rsidRPr="00B11FA5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D71392"/>
    <w:multiLevelType w:val="hybridMultilevel"/>
    <w:tmpl w:val="9CE6A6FE"/>
    <w:lvl w:ilvl="0" w:tplc="6584DD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80567A"/>
    <w:multiLevelType w:val="hybridMultilevel"/>
    <w:tmpl w:val="78C22DB2"/>
    <w:lvl w:ilvl="0" w:tplc="34B208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64E25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1FA5"/>
    <w:rsid w:val="00B14AF7"/>
    <w:rsid w:val="00B753EC"/>
    <w:rsid w:val="00B91EF8"/>
    <w:rsid w:val="00BC1439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2022-09-01T04:45:00Z</cp:lastPrinted>
  <dcterms:created xsi:type="dcterms:W3CDTF">2022-08-31T09:50:00Z</dcterms:created>
  <dcterms:modified xsi:type="dcterms:W3CDTF">2022-09-01T04:45:00Z</dcterms:modified>
</cp:coreProperties>
</file>