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9A" w:rsidRDefault="00494A9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4156"/>
        <w:gridCol w:w="5415"/>
      </w:tblGrid>
      <w:tr w:rsidR="006C03FA" w:rsidRPr="00B72A47" w:rsidTr="00EB134B">
        <w:tc>
          <w:tcPr>
            <w:tcW w:w="2171" w:type="pct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2829" w:type="pc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EB134B">
        <w:tc>
          <w:tcPr>
            <w:tcW w:w="2171" w:type="pct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29" w:type="pct"/>
          </w:tcPr>
          <w:p w:rsidR="006C03FA" w:rsidRPr="00756BF7" w:rsidRDefault="006C03FA" w:rsidP="00905C0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6BF7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756BF7" w:rsidRPr="00756BF7">
              <w:rPr>
                <w:rFonts w:eastAsia="Calibri"/>
                <w:sz w:val="24"/>
                <w:szCs w:val="24"/>
                <w:u w:val="single"/>
                <w:lang w:eastAsia="ru-RU"/>
              </w:rPr>
              <w:t>2</w:t>
            </w:r>
            <w:r w:rsidR="00905C08">
              <w:rPr>
                <w:rFonts w:eastAsia="Calibri"/>
                <w:sz w:val="24"/>
                <w:szCs w:val="24"/>
                <w:u w:val="single"/>
                <w:lang w:eastAsia="ru-RU"/>
              </w:rPr>
              <w:t>7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0A4F14">
              <w:rPr>
                <w:rFonts w:eastAsia="Calibri"/>
                <w:sz w:val="24"/>
                <w:szCs w:val="24"/>
                <w:u w:val="single"/>
                <w:lang w:eastAsia="ru-RU"/>
              </w:rPr>
              <w:t>июня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494A9A" w:rsidRPr="00756BF7">
              <w:rPr>
                <w:rFonts w:eastAsia="Calibri"/>
                <w:sz w:val="24"/>
                <w:szCs w:val="24"/>
                <w:u w:val="single"/>
                <w:lang w:eastAsia="ru-RU"/>
              </w:rPr>
              <w:t>19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EB134B">
        <w:tc>
          <w:tcPr>
            <w:tcW w:w="2171" w:type="pct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29" w:type="pct"/>
          </w:tcPr>
          <w:p w:rsidR="006C03FA" w:rsidRPr="00756BF7" w:rsidRDefault="006C03FA" w:rsidP="00905C0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6BF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0A4F14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905C08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756BF7" w:rsidRPr="00756BF7">
              <w:rPr>
                <w:rFonts w:eastAsia="Calibri"/>
                <w:sz w:val="24"/>
                <w:szCs w:val="24"/>
                <w:lang w:eastAsia="ru-RU"/>
              </w:rPr>
              <w:t>ию</w:t>
            </w:r>
            <w:r w:rsidR="000A4F14">
              <w:rPr>
                <w:rFonts w:eastAsia="Calibri"/>
                <w:sz w:val="24"/>
                <w:szCs w:val="24"/>
                <w:lang w:eastAsia="ru-RU"/>
              </w:rPr>
              <w:t>л</w:t>
            </w:r>
            <w:r w:rsidR="00756BF7" w:rsidRPr="00756BF7"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494A9A" w:rsidRPr="00756BF7">
              <w:rPr>
                <w:rFonts w:eastAsia="Calibri"/>
                <w:sz w:val="24"/>
                <w:szCs w:val="24"/>
                <w:u w:val="single"/>
                <w:lang w:eastAsia="ru-RU"/>
              </w:rPr>
              <w:t>19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EB134B">
        <w:tc>
          <w:tcPr>
            <w:tcW w:w="5000" w:type="pct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2829" w:type="pct"/>
          </w:tcPr>
          <w:p w:rsidR="006C03FA" w:rsidRPr="002F0331" w:rsidRDefault="004626FF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79"/>
      </w:tblGrid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6C03FA" w:rsidRPr="003A080F" w:rsidRDefault="00494A9A" w:rsidP="003A080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6C03FA" w:rsidRPr="004626FF" w:rsidRDefault="004626FF" w:rsidP="000A4F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 w:rsidRPr="004626FF">
              <w:rPr>
                <w:b/>
                <w:i/>
                <w:sz w:val="24"/>
                <w:szCs w:val="24"/>
              </w:rPr>
              <w:t>Проект п</w:t>
            </w:r>
            <w:r w:rsidR="00494A9A" w:rsidRPr="004626FF">
              <w:rPr>
                <w:b/>
                <w:i/>
                <w:sz w:val="24"/>
                <w:szCs w:val="24"/>
              </w:rPr>
              <w:t>остановлени</w:t>
            </w:r>
            <w:r w:rsidRPr="004626FF">
              <w:rPr>
                <w:b/>
                <w:i/>
                <w:sz w:val="24"/>
                <w:szCs w:val="24"/>
              </w:rPr>
              <w:t>я</w:t>
            </w:r>
            <w:r w:rsidR="00494A9A" w:rsidRPr="004626FF">
              <w:rPr>
                <w:b/>
                <w:i/>
                <w:sz w:val="24"/>
                <w:szCs w:val="24"/>
              </w:rPr>
              <w:t xml:space="preserve"> администрации города Югорска «О внесении изменений в постановление администрации города Югорска от </w:t>
            </w:r>
            <w:r w:rsidR="000A4F14">
              <w:rPr>
                <w:b/>
                <w:i/>
                <w:sz w:val="24"/>
                <w:szCs w:val="24"/>
              </w:rPr>
              <w:t>21.06.2011 № 1308 «Об утверждении схемы размещения нестационарных торговых объектов на территории города Югорска»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4626FF" w:rsidRDefault="000A4F14" w:rsidP="0043774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Положение о размещении нестационарных торговых объектов на территории города Югорска, утвержденное постановлением администрации города Югорска от 30.09.2016 № 2367 (с изменениями)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Фамилия, имя, отчество: </w:t>
            </w:r>
            <w:proofErr w:type="spellStart"/>
            <w:r w:rsidR="00C6506D">
              <w:rPr>
                <w:b/>
                <w:i/>
                <w:sz w:val="27"/>
                <w:szCs w:val="27"/>
                <w:lang w:eastAsia="en-US"/>
              </w:rPr>
              <w:t>Городович</w:t>
            </w:r>
            <w:proofErr w:type="spellEnd"/>
            <w:r w:rsidR="00C6506D">
              <w:rPr>
                <w:b/>
                <w:i/>
                <w:sz w:val="27"/>
                <w:szCs w:val="27"/>
                <w:lang w:eastAsia="en-US"/>
              </w:rPr>
              <w:t xml:space="preserve"> Виктория Владимировна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Должность: </w:t>
            </w:r>
            <w:r w:rsidR="00C6506D">
              <w:rPr>
                <w:b/>
                <w:i/>
                <w:sz w:val="27"/>
                <w:szCs w:val="27"/>
                <w:lang w:eastAsia="en-US"/>
              </w:rPr>
              <w:t>главный специалист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6C03FA" w:rsidRPr="00C6506D" w:rsidRDefault="006C03FA" w:rsidP="00C6506D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Телефон: </w:t>
            </w:r>
            <w:r w:rsidR="00C6506D">
              <w:rPr>
                <w:b/>
                <w:i/>
                <w:sz w:val="27"/>
                <w:szCs w:val="27"/>
                <w:lang w:eastAsia="en-US"/>
              </w:rPr>
              <w:t xml:space="preserve">8(34675)5-00-68   </w:t>
            </w:r>
            <w:r w:rsidRPr="00D47474">
              <w:rPr>
                <w:sz w:val="27"/>
                <w:szCs w:val="27"/>
                <w:lang w:eastAsia="en-US"/>
              </w:rPr>
              <w:t xml:space="preserve"> Адрес электронной почты: </w:t>
            </w:r>
            <w:hyperlink r:id="rId6" w:history="1"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arh</w:t>
              </w:r>
              <w:r w:rsidR="00C6506D" w:rsidRPr="00C6506D">
                <w:rPr>
                  <w:rStyle w:val="a4"/>
                  <w:b/>
                  <w:i/>
                  <w:sz w:val="27"/>
                  <w:szCs w:val="27"/>
                  <w:lang w:eastAsia="en-US"/>
                </w:rPr>
                <w:t>@</w:t>
              </w:r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ugorsk</w:t>
              </w:r>
              <w:r w:rsidR="00C6506D" w:rsidRPr="00C6506D">
                <w:rPr>
                  <w:rStyle w:val="a4"/>
                  <w:b/>
                  <w:i/>
                  <w:sz w:val="27"/>
                  <w:szCs w:val="27"/>
                  <w:lang w:eastAsia="en-US"/>
                </w:rPr>
                <w:t>.</w:t>
              </w:r>
              <w:proofErr w:type="spellStart"/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ru</w:t>
              </w:r>
              <w:proofErr w:type="spellEnd"/>
            </w:hyperlink>
            <w:r w:rsidR="00C6506D" w:rsidRPr="00C6506D">
              <w:rPr>
                <w:b/>
                <w:i/>
                <w:sz w:val="27"/>
                <w:szCs w:val="27"/>
                <w:lang w:eastAsia="en-US"/>
              </w:rPr>
              <w:t xml:space="preserve">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941"/>
        <w:gridCol w:w="3978"/>
      </w:tblGrid>
      <w:tr w:rsidR="006C03FA" w:rsidRPr="00C118D9" w:rsidTr="00EB134B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C6506D" w:rsidRDefault="00C6506D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C6506D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средняя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(высокая/ средняя/ низкая)</w:t>
            </w:r>
          </w:p>
        </w:tc>
      </w:tr>
      <w:tr w:rsidR="006C03FA" w:rsidRPr="00C118D9" w:rsidTr="00EB134B">
        <w:trPr>
          <w:trHeight w:val="58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C03FA" w:rsidRPr="009C6E8A" w:rsidRDefault="006C03FA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 определенной степени регулирующего воздействия: </w:t>
            </w:r>
          </w:p>
          <w:p w:rsidR="006C03FA" w:rsidRPr="004626FF" w:rsidRDefault="00C6506D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Проектом 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>уточняются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ранее предусмотренные муниципальным правовым акт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>ом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положения,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формулировки, понятия,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затрагивающие интересы субъектов предпринимательской деятельности.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>
              <w:rPr>
                <w:sz w:val="27"/>
                <w:szCs w:val="27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4626FF" w:rsidRDefault="00C6506D" w:rsidP="003A08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Регулирование отношений, возникающих между органом местного самоуправления</w:t>
            </w:r>
            <w:r w:rsidR="00C760A3" w:rsidRPr="004626FF">
              <w:rPr>
                <w:b/>
                <w:i/>
                <w:sz w:val="24"/>
                <w:szCs w:val="24"/>
              </w:rPr>
              <w:t xml:space="preserve"> (Департаментом муниципальной собственности и градостроительства) и субъектами предпринимательской деятельности</w:t>
            </w:r>
            <w:r w:rsidR="003A080F" w:rsidRPr="004626FF">
              <w:rPr>
                <w:b/>
                <w:i/>
                <w:sz w:val="24"/>
                <w:szCs w:val="24"/>
              </w:rPr>
              <w:t xml:space="preserve"> по вопросам размещения нестационарных торговых объектов на территории города Югорска.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0A4F14" w:rsidRDefault="000A4F14" w:rsidP="000A4F1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Постановление администрации города Югорска от 21.06.2011 № 1308 «Об утверждении схемы размещения нестационарных торговых объектов на территории города Югорска»</w:t>
            </w:r>
            <w:r w:rsidR="00AE34BE">
              <w:rPr>
                <w:b/>
                <w:i/>
                <w:sz w:val="24"/>
                <w:szCs w:val="24"/>
              </w:rPr>
              <w:t xml:space="preserve"> (с изменениями).</w:t>
            </w:r>
          </w:p>
          <w:p w:rsidR="006C03FA" w:rsidRPr="004626FF" w:rsidRDefault="00C760A3" w:rsidP="000A4F1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Постановление администрации города Югорска от 30.09.201</w:t>
            </w:r>
            <w:r w:rsidR="000A4F14">
              <w:rPr>
                <w:b/>
                <w:i/>
                <w:sz w:val="24"/>
                <w:szCs w:val="24"/>
              </w:rPr>
              <w:t>6</w:t>
            </w:r>
            <w:r w:rsidRPr="004626FF">
              <w:rPr>
                <w:b/>
                <w:i/>
                <w:sz w:val="24"/>
                <w:szCs w:val="24"/>
              </w:rPr>
              <w:t xml:space="preserve"> </w:t>
            </w:r>
            <w:r w:rsidR="003A080F" w:rsidRPr="004626FF">
              <w:rPr>
                <w:b/>
                <w:i/>
                <w:sz w:val="24"/>
                <w:szCs w:val="24"/>
              </w:rPr>
              <w:t xml:space="preserve">№ 2367 </w:t>
            </w:r>
            <w:r w:rsidRPr="004626FF">
              <w:rPr>
                <w:b/>
                <w:i/>
                <w:sz w:val="24"/>
                <w:szCs w:val="24"/>
              </w:rPr>
              <w:t>«Об утверждении Положения о размещении нестационарных торговых объектов на территории города Югорска»</w:t>
            </w:r>
            <w:r w:rsidR="00023978" w:rsidRPr="004626FF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AE34BE" w:rsidRDefault="00C760A3" w:rsidP="004626F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</w:rPr>
            </w:pPr>
            <w:r w:rsidRPr="004626FF">
              <w:rPr>
                <w:b/>
                <w:i/>
                <w:sz w:val="24"/>
                <w:szCs w:val="24"/>
              </w:rPr>
              <w:t xml:space="preserve">На территориях других муниципальных образований практикуется разработка </w:t>
            </w:r>
          </w:p>
          <w:p w:rsidR="00AE34BE" w:rsidRPr="00AE34BE" w:rsidRDefault="00AE34BE" w:rsidP="00AE34B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 </w:t>
            </w:r>
            <w:r w:rsidRPr="00AE34BE">
              <w:rPr>
                <w:b/>
                <w:i/>
                <w:sz w:val="24"/>
                <w:szCs w:val="24"/>
              </w:rPr>
              <w:t xml:space="preserve">Постановление администрации г. </w:t>
            </w:r>
            <w:proofErr w:type="spellStart"/>
            <w:r w:rsidRPr="00AE34BE">
              <w:rPr>
                <w:b/>
                <w:i/>
                <w:sz w:val="24"/>
                <w:szCs w:val="24"/>
              </w:rPr>
              <w:t>Урай</w:t>
            </w:r>
            <w:proofErr w:type="spellEnd"/>
            <w:r w:rsidRPr="00AE34BE">
              <w:rPr>
                <w:b/>
                <w:i/>
                <w:sz w:val="24"/>
                <w:szCs w:val="24"/>
              </w:rPr>
              <w:t xml:space="preserve"> Ханты-Мансийского автономного округа - Югры от 19.12.2018 № 3342 «Об утверждении Схемы размещения нестационарных торговых объектов на территории города </w:t>
            </w:r>
            <w:proofErr w:type="spellStart"/>
            <w:r w:rsidRPr="00AE34BE">
              <w:rPr>
                <w:b/>
                <w:i/>
                <w:sz w:val="24"/>
                <w:szCs w:val="24"/>
              </w:rPr>
              <w:t>Урай</w:t>
            </w:r>
            <w:proofErr w:type="spellEnd"/>
            <w:r w:rsidRPr="00AE34BE">
              <w:rPr>
                <w:b/>
                <w:i/>
                <w:sz w:val="24"/>
                <w:szCs w:val="24"/>
              </w:rPr>
              <w:t xml:space="preserve"> на 2019 год»</w:t>
            </w:r>
            <w:r>
              <w:rPr>
                <w:b/>
                <w:i/>
                <w:sz w:val="24"/>
                <w:szCs w:val="24"/>
              </w:rPr>
              <w:t>;</w:t>
            </w:r>
          </w:p>
          <w:p w:rsidR="006C03FA" w:rsidRPr="00AE34BE" w:rsidRDefault="00AE34BE" w:rsidP="004626F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 </w:t>
            </w:r>
            <w:r w:rsidRPr="00AE34BE">
              <w:rPr>
                <w:b/>
                <w:i/>
                <w:sz w:val="24"/>
                <w:szCs w:val="24"/>
              </w:rPr>
              <w:t xml:space="preserve">Постановление администрации г. </w:t>
            </w:r>
            <w:proofErr w:type="spellStart"/>
            <w:r w:rsidRPr="00AE34BE">
              <w:rPr>
                <w:b/>
                <w:i/>
                <w:sz w:val="24"/>
                <w:szCs w:val="24"/>
              </w:rPr>
              <w:t>Пыть-Яха</w:t>
            </w:r>
            <w:proofErr w:type="spellEnd"/>
            <w:r w:rsidRPr="00AE34BE">
              <w:rPr>
                <w:b/>
                <w:i/>
                <w:sz w:val="24"/>
                <w:szCs w:val="24"/>
              </w:rPr>
              <w:t xml:space="preserve"> от 19.01.2017 № 21-па «О внесении изменений в постановление администрации города от 20.05.2016 N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муниципального образования городской округ город </w:t>
            </w:r>
            <w:proofErr w:type="spellStart"/>
            <w:r w:rsidRPr="00AE34BE">
              <w:rPr>
                <w:b/>
                <w:i/>
                <w:sz w:val="24"/>
                <w:szCs w:val="24"/>
              </w:rPr>
              <w:t>Пыть-Ях</w:t>
            </w:r>
            <w:proofErr w:type="spellEnd"/>
            <w:r w:rsidRPr="00AE34BE">
              <w:rPr>
                <w:b/>
                <w:i/>
                <w:sz w:val="24"/>
                <w:szCs w:val="24"/>
              </w:rPr>
              <w:t>»</w:t>
            </w:r>
            <w:r w:rsidR="00850B9F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023978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23978">
              <w:rPr>
                <w:rFonts w:eastAsia="Calibri"/>
                <w:sz w:val="24"/>
                <w:szCs w:val="24"/>
                <w:lang w:eastAsia="ru-RU"/>
              </w:rPr>
              <w:t>3.4. Выявление рисков, связанных с существующей ситуацией:</w:t>
            </w:r>
          </w:p>
          <w:p w:rsidR="006C03FA" w:rsidRPr="00023978" w:rsidRDefault="0043774B" w:rsidP="0043774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Частичное несоответствие Федеральному закону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Акты прокурорского реагирования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Правовая с</w:t>
            </w:r>
            <w:r w:rsidR="004626FF" w:rsidRPr="004626FF">
              <w:rPr>
                <w:b/>
                <w:i/>
                <w:sz w:val="24"/>
                <w:szCs w:val="24"/>
              </w:rPr>
              <w:t>истема Гарант, Интернет ресурсы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(при наличи</w:t>
            </w:r>
            <w:r w:rsidR="00BB3A3D">
              <w:rPr>
                <w:rFonts w:eastAsia="Calibri"/>
                <w:sz w:val="24"/>
                <w:szCs w:val="24"/>
                <w:lang w:eastAsia="ru-RU"/>
              </w:rPr>
              <w:t>и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 xml:space="preserve">отсутствует 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lastRenderedPageBreak/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 xml:space="preserve">горска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6C03FA" w:rsidRPr="009C6E8A" w:rsidTr="00EB134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3E72A3" w:rsidRPr="009C6E8A" w:rsidTr="00EB134B">
        <w:trPr>
          <w:trHeight w:val="73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A3" w:rsidRPr="004E15E7" w:rsidRDefault="0043774B" w:rsidP="00394E8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Приведение в соответствие </w:t>
            </w:r>
            <w:r w:rsidR="00394E80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требованиям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законодательством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A3" w:rsidRPr="004E15E7" w:rsidRDefault="003E72A3" w:rsidP="00394E8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Принятие изменений в муниципальный нормативный правовой акт</w:t>
            </w:r>
            <w:r w:rsidR="00394E80">
              <w:rPr>
                <w:rFonts w:eastAsia="Calibri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BB3A3D" w:rsidRPr="009C6E8A" w:rsidTr="00EB134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3D" w:rsidRPr="009C6E8A" w:rsidRDefault="00BB3A3D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BB3A3D" w:rsidRPr="009C6E8A" w:rsidRDefault="00023978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Цель предполагаемого регулирования соответствует целям муниципальной программы города Югорска «</w:t>
            </w:r>
            <w:r w:rsidR="00757CA8">
              <w:rPr>
                <w:b/>
                <w:i/>
                <w:sz w:val="24"/>
                <w:szCs w:val="24"/>
              </w:rPr>
              <w:t>Управление муниципальным имуществом» - ф</w:t>
            </w:r>
            <w:r w:rsidRPr="00023978">
              <w:rPr>
                <w:b/>
                <w:i/>
                <w:sz w:val="24"/>
                <w:szCs w:val="24"/>
              </w:rPr>
              <w:t>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органов местного самоуправления, достоверный учет и контроль использования муниципального имущества города Югорска</w:t>
            </w:r>
          </w:p>
        </w:tc>
      </w:tr>
    </w:tbl>
    <w:p w:rsidR="004E15E7" w:rsidRDefault="004E15E7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757CA8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7CA8">
              <w:rPr>
                <w:rFonts w:eastAsia="Calibri"/>
                <w:sz w:val="24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757CA8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757CA8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6C03FA" w:rsidRPr="00757CA8" w:rsidRDefault="0043774B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Внесение изменений </w:t>
            </w:r>
            <w:r w:rsidR="005C0B9E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путем включения и исключения ме</w:t>
            </w:r>
            <w:proofErr w:type="gramStart"/>
            <w:r w:rsidR="005C0B9E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ст в сх</w:t>
            </w:r>
            <w:proofErr w:type="gramEnd"/>
            <w:r w:rsidR="005C0B9E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ему. Уточнение месторасположения объектов.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6C03FA" w:rsidRPr="00757CA8" w:rsidRDefault="003E72A3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6C03FA" w:rsidRPr="00522896" w:rsidRDefault="003E72A3" w:rsidP="0052289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Федеральный закон от 06.10.2003 № 131-ФЗ «Об общих принципах</w:t>
            </w:r>
            <w:r w:rsidR="00522896"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организации местного самоуправления в Российской Федерации;</w:t>
            </w:r>
          </w:p>
          <w:p w:rsidR="006C03FA" w:rsidRPr="00757CA8" w:rsidRDefault="00522896" w:rsidP="00757C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Федеральный закон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757CA8" w:rsidRDefault="00522896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3804"/>
        <w:gridCol w:w="792"/>
        <w:gridCol w:w="4192"/>
      </w:tblGrid>
      <w:tr w:rsidR="006C03FA" w:rsidRPr="00401533" w:rsidTr="00EB134B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757CA8" w:rsidRPr="00401533" w:rsidTr="00757CA8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757CA8" w:rsidRPr="00522896" w:rsidRDefault="00757CA8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lastRenderedPageBreak/>
              <w:t xml:space="preserve">Группа № 1: </w:t>
            </w: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414" w:type="pct"/>
            <w:shd w:val="clear" w:color="auto" w:fill="auto"/>
          </w:tcPr>
          <w:p w:rsidR="00757CA8" w:rsidRPr="00522896" w:rsidRDefault="00757CA8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0" w:type="pct"/>
            <w:shd w:val="clear" w:color="auto" w:fill="auto"/>
          </w:tcPr>
          <w:p w:rsidR="00757CA8" w:rsidRPr="00522896" w:rsidRDefault="00757CA8" w:rsidP="00757CA8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C03FA" w:rsidRPr="00401533" w:rsidTr="00EB134B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C03FA" w:rsidRPr="00BA5499" w:rsidRDefault="00757CA8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Группа № 2: </w:t>
            </w:r>
            <w:r w:rsidR="00522896" w:rsidRPr="00BA5499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Субъекты предпринимательской деятельности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522896" w:rsidRDefault="00522896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6C03FA" w:rsidRPr="00401533" w:rsidTr="00EB134B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C03FA" w:rsidRPr="00401533" w:rsidRDefault="006C03FA" w:rsidP="00B30C75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6C03FA" w:rsidRPr="00522896" w:rsidRDefault="00522896" w:rsidP="00B30C75">
            <w:pPr>
              <w:pBdr>
                <w:bottom w:val="single" w:sz="4" w:space="1" w:color="auto"/>
              </w:pBdr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Административный учет, штатное расписание</w:t>
            </w:r>
          </w:p>
          <w:p w:rsidR="006C03FA" w:rsidRPr="00401533" w:rsidRDefault="006C03FA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2031"/>
        <w:gridCol w:w="1945"/>
        <w:gridCol w:w="1756"/>
      </w:tblGrid>
      <w:tr w:rsidR="008409F3" w:rsidRPr="00401533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8409F3" w:rsidRPr="00522896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Группа № 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1 специалист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8409F3" w:rsidRPr="00522896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Группа № 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Неопределенный круг лиц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в связи с наличием заявительного порядка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Административный учет (в соответствии с заявками)</w:t>
            </w:r>
          </w:p>
        </w:tc>
      </w:tr>
      <w:tr w:rsidR="008409F3" w:rsidRPr="00401533" w:rsidTr="00EB134B">
        <w:trPr>
          <w:trHeight w:val="660"/>
        </w:trPr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EB134B" w:rsidRPr="00401533" w:rsidTr="00EB134B">
        <w:trPr>
          <w:trHeight w:val="525"/>
        </w:trPr>
        <w:tc>
          <w:tcPr>
            <w:tcW w:w="2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EB134B" w:rsidRPr="00401533" w:rsidTr="00EB134B"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Функции уполномоченного органа по размещению нестационарных торговых объектов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409F3" w:rsidRDefault="006C03FA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409F3" w:rsidRDefault="006C03FA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F3" w:rsidRPr="008409F3" w:rsidRDefault="008409F3" w:rsidP="00B30C75">
            <w:pPr>
              <w:spacing w:line="256" w:lineRule="auto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8409F3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Обеспечение обязательных требований к заявителю, подготовка пакета документов в уполномоченный орган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6F199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8409F3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3" w:rsidRPr="00401533" w:rsidRDefault="008409F3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6F199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8409F3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3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757CA8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издержек не возникает</w:t>
            </w:r>
          </w:p>
        </w:tc>
      </w:tr>
      <w:tr w:rsidR="008409F3" w:rsidRPr="00401533" w:rsidTr="00EB134B">
        <w:tc>
          <w:tcPr>
            <w:tcW w:w="3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757CA8" w:rsidP="008409F3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издержек не возникает</w:t>
            </w:r>
            <w:r w:rsidR="008409F3" w:rsidRPr="008409F3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8409F3" w:rsidRPr="00401533" w:rsidTr="00EB13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757CA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7.9. Источники данных: 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2789"/>
        <w:gridCol w:w="334"/>
        <w:gridCol w:w="1953"/>
        <w:gridCol w:w="2063"/>
      </w:tblGrid>
      <w:tr w:rsidR="006C03FA" w:rsidRPr="002F0331" w:rsidTr="00EB134B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.2. Индикативные показатели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.4. Способы расчета индикативных показателей</w:t>
            </w:r>
          </w:p>
        </w:tc>
      </w:tr>
      <w:tr w:rsidR="00BA5499" w:rsidRPr="002F0331" w:rsidTr="00757CA8">
        <w:trPr>
          <w:trHeight w:val="1104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9" w:rsidRPr="00BA5499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BA5499">
              <w:rPr>
                <w:rFonts w:eastAsia="Calibri"/>
                <w:b/>
                <w:i/>
                <w:sz w:val="24"/>
                <w:szCs w:val="24"/>
                <w:lang w:eastAsia="ru-RU"/>
              </w:rPr>
              <w:lastRenderedPageBreak/>
              <w:t>Уточнение формулировок, понятий, положений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281255" w:rsidP="005C0B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 устанавливались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2F0331" w:rsidTr="00EB134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757CA8" w:rsidRDefault="00757CA8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Индикативные показатели определены при разработке основного документа</w:t>
            </w:r>
          </w:p>
        </w:tc>
      </w:tr>
      <w:tr w:rsidR="006C03FA" w:rsidRPr="002F0331" w:rsidTr="00EB134B">
        <w:tc>
          <w:tcPr>
            <w:tcW w:w="2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EB134B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0,00</w:t>
            </w:r>
            <w:r w:rsidR="006C03FA" w:rsidRPr="002F0331">
              <w:rPr>
                <w:rFonts w:eastAsia="Calibri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6C03FA" w:rsidRPr="002F0331" w:rsidTr="00EB134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757CA8" w:rsidRDefault="00EB134B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Данные административного учета о количестве заявителей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4626FF" w:rsidRDefault="005C0B9E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626FF" w:rsidRPr="004626FF">
        <w:rPr>
          <w:sz w:val="24"/>
          <w:szCs w:val="24"/>
        </w:rPr>
        <w:t>ерв</w:t>
      </w:r>
      <w:r>
        <w:rPr>
          <w:sz w:val="24"/>
          <w:szCs w:val="24"/>
        </w:rPr>
        <w:t>ый</w:t>
      </w:r>
      <w:r w:rsidR="004626FF" w:rsidRPr="004626FF">
        <w:rPr>
          <w:sz w:val="24"/>
          <w:szCs w:val="24"/>
        </w:rPr>
        <w:t xml:space="preserve"> заместител</w:t>
      </w:r>
      <w:r>
        <w:rPr>
          <w:sz w:val="24"/>
          <w:szCs w:val="24"/>
        </w:rPr>
        <w:t>ь</w:t>
      </w:r>
      <w:r w:rsidR="004626FF" w:rsidRPr="004626FF">
        <w:rPr>
          <w:sz w:val="24"/>
          <w:szCs w:val="24"/>
        </w:rPr>
        <w:t xml:space="preserve"> главы города-</w:t>
      </w:r>
    </w:p>
    <w:p w:rsidR="004626FF" w:rsidRPr="004626FF" w:rsidRDefault="004626FF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4626FF">
        <w:rPr>
          <w:sz w:val="24"/>
          <w:szCs w:val="24"/>
        </w:rPr>
        <w:t xml:space="preserve">директор </w:t>
      </w:r>
      <w:r w:rsidR="005C0B9E">
        <w:rPr>
          <w:sz w:val="24"/>
          <w:szCs w:val="24"/>
        </w:rPr>
        <w:t>Д</w:t>
      </w:r>
      <w:r w:rsidRPr="004626FF">
        <w:rPr>
          <w:sz w:val="24"/>
          <w:szCs w:val="24"/>
        </w:rPr>
        <w:t>епартамента муниципальной собственности и градостроительства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9"/>
        <w:gridCol w:w="696"/>
        <w:gridCol w:w="1560"/>
        <w:gridCol w:w="282"/>
        <w:gridCol w:w="2294"/>
      </w:tblGrid>
      <w:tr w:rsidR="006C03FA" w:rsidRPr="005C0B9E" w:rsidTr="005C0B9E">
        <w:trPr>
          <w:trHeight w:val="377"/>
        </w:trPr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5C0B9E" w:rsidRDefault="005C0B9E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C0B9E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5C0B9E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  <w:tc>
          <w:tcPr>
            <w:tcW w:w="369" w:type="pct"/>
            <w:vAlign w:val="bottom"/>
          </w:tcPr>
          <w:p w:rsidR="006C03FA" w:rsidRPr="005C0B9E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5C0B9E" w:rsidRDefault="00281255" w:rsidP="0028125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5C0B9E" w:rsidRPr="005C0B9E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7</w:t>
            </w:r>
            <w:bookmarkStart w:id="1" w:name="_GoBack"/>
            <w:bookmarkEnd w:id="1"/>
            <w:r w:rsidR="004626FF" w:rsidRPr="005C0B9E">
              <w:rPr>
                <w:sz w:val="24"/>
                <w:szCs w:val="24"/>
                <w:lang w:eastAsia="en-US"/>
              </w:rPr>
              <w:t>.2019</w:t>
            </w:r>
          </w:p>
        </w:tc>
        <w:tc>
          <w:tcPr>
            <w:tcW w:w="150" w:type="pct"/>
            <w:vAlign w:val="bottom"/>
          </w:tcPr>
          <w:p w:rsidR="006C03FA" w:rsidRPr="005C0B9E" w:rsidRDefault="006C03FA" w:rsidP="00B30C75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5C0B9E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C03FA" w:rsidRPr="003E05D2" w:rsidTr="005C0B9E">
        <w:tc>
          <w:tcPr>
            <w:tcW w:w="2432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369" w:type="pct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50" w:type="pct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6C03FA" w:rsidRDefault="006C03FA" w:rsidP="006C03FA"/>
    <w:sectPr w:rsidR="006C03FA" w:rsidRPr="006C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B6"/>
    <w:rsid w:val="00023978"/>
    <w:rsid w:val="000A4F14"/>
    <w:rsid w:val="00281255"/>
    <w:rsid w:val="00394E80"/>
    <w:rsid w:val="003A080F"/>
    <w:rsid w:val="003E72A3"/>
    <w:rsid w:val="0043774B"/>
    <w:rsid w:val="004626FF"/>
    <w:rsid w:val="00494A9A"/>
    <w:rsid w:val="004E15E7"/>
    <w:rsid w:val="00522896"/>
    <w:rsid w:val="005C0B9E"/>
    <w:rsid w:val="006C03FA"/>
    <w:rsid w:val="00756BF7"/>
    <w:rsid w:val="00757CA8"/>
    <w:rsid w:val="008409F3"/>
    <w:rsid w:val="00850B9F"/>
    <w:rsid w:val="00905C08"/>
    <w:rsid w:val="00AE34BE"/>
    <w:rsid w:val="00AE493E"/>
    <w:rsid w:val="00BA5499"/>
    <w:rsid w:val="00BB3A3D"/>
    <w:rsid w:val="00C6506D"/>
    <w:rsid w:val="00C760A3"/>
    <w:rsid w:val="00CF0FB6"/>
    <w:rsid w:val="00D51D7B"/>
    <w:rsid w:val="00E943B6"/>
    <w:rsid w:val="00EB134B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06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FA17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4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9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Документ в списке"/>
    <w:basedOn w:val="a"/>
    <w:next w:val="a"/>
    <w:uiPriority w:val="99"/>
    <w:rsid w:val="00AE34BE"/>
    <w:pPr>
      <w:suppressAutoHyphens w:val="0"/>
      <w:autoSpaceDE w:val="0"/>
      <w:autoSpaceDN w:val="0"/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06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FA17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4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9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Документ в списке"/>
    <w:basedOn w:val="a"/>
    <w:next w:val="a"/>
    <w:uiPriority w:val="99"/>
    <w:rsid w:val="00AE34BE"/>
    <w:pPr>
      <w:suppressAutoHyphens w:val="0"/>
      <w:autoSpaceDE w:val="0"/>
      <w:autoSpaceDN w:val="0"/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@ugo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5</cp:revision>
  <cp:lastPrinted>2019-06-27T07:12:00Z</cp:lastPrinted>
  <dcterms:created xsi:type="dcterms:W3CDTF">2019-06-27T07:10:00Z</dcterms:created>
  <dcterms:modified xsi:type="dcterms:W3CDTF">2019-07-17T07:46:00Z</dcterms:modified>
</cp:coreProperties>
</file>