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FF" w:rsidRPr="00937CFF" w:rsidRDefault="00937CFF" w:rsidP="00937CFF">
      <w:pPr>
        <w:jc w:val="right"/>
      </w:pPr>
      <w:r w:rsidRPr="00937CFF">
        <w:t xml:space="preserve">Приложение </w:t>
      </w:r>
      <w:r w:rsidR="006117E0">
        <w:t xml:space="preserve">3 </w:t>
      </w:r>
      <w:r w:rsidRPr="00937CFF">
        <w:t>к письму УВПиОС</w:t>
      </w:r>
    </w:p>
    <w:p w:rsidR="003B5791" w:rsidRPr="00937CFF" w:rsidRDefault="00937CFF" w:rsidP="00937CFF">
      <w:pPr>
        <w:jc w:val="right"/>
      </w:pPr>
      <w:r w:rsidRPr="00937CFF">
        <w:t>от _______________ № _____</w:t>
      </w:r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гражданского общества, реализация государственной национальной политики, профилактика экстремизма» в 20</w:t>
      </w:r>
      <w:r w:rsidR="004C2743">
        <w:rPr>
          <w:b/>
          <w:bCs/>
          <w:sz w:val="24"/>
          <w:szCs w:val="24"/>
        </w:rPr>
        <w:t>2</w:t>
      </w:r>
      <w:r w:rsidR="0059595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году.</w:t>
      </w:r>
    </w:p>
    <w:p w:rsidR="003E0D98" w:rsidRDefault="003E0D98" w:rsidP="003E0D98">
      <w:pPr>
        <w:jc w:val="center"/>
        <w:rPr>
          <w:b/>
          <w:bCs/>
          <w:sz w:val="24"/>
          <w:szCs w:val="24"/>
        </w:rPr>
      </w:pPr>
    </w:p>
    <w:p w:rsidR="003E0D98" w:rsidRDefault="003E0D98" w:rsidP="003E0D98">
      <w:pPr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Муниципальная программа города Югорска «</w:t>
      </w:r>
      <w:r w:rsidRPr="003E0D98">
        <w:rPr>
          <w:bCs/>
          <w:sz w:val="24"/>
          <w:szCs w:val="24"/>
        </w:rPr>
        <w:t>Развитие гражданского общества, реализация государственной национальной политики, профилактика экстремизма</w:t>
      </w:r>
      <w:r>
        <w:rPr>
          <w:bCs/>
          <w:sz w:val="24"/>
          <w:szCs w:val="24"/>
        </w:rPr>
        <w:t>» (далее - муниципальная программа) утверждена постановлением администрации города Югорска от 30.10.2018 № 2998 (с последующими изменениями от 29.04.2019 № 880</w:t>
      </w:r>
      <w:r>
        <w:rPr>
          <w:kern w:val="2"/>
          <w:sz w:val="24"/>
          <w:szCs w:val="24"/>
        </w:rPr>
        <w:t>, от 10.10.2019</w:t>
      </w:r>
      <w:r>
        <w:rPr>
          <w:sz w:val="24"/>
          <w:szCs w:val="24"/>
        </w:rPr>
        <w:t xml:space="preserve"> № 2178, от 18.12.2019 № 2725, от 24.12.2019 № 2775</w:t>
      </w:r>
      <w:r w:rsidR="004C2743">
        <w:rPr>
          <w:sz w:val="24"/>
          <w:szCs w:val="24"/>
        </w:rPr>
        <w:t xml:space="preserve">, </w:t>
      </w:r>
      <w:r w:rsidR="004C2743" w:rsidRPr="004C2743">
        <w:rPr>
          <w:sz w:val="24"/>
          <w:szCs w:val="24"/>
        </w:rPr>
        <w:t>от 09.04.2020 № 542, от 04.06.2020 № 729, от 28.09.2020 № 1392, от 21.12.2020 № 1920, от 21.12.2020 № 1921</w:t>
      </w:r>
      <w:r w:rsidR="00930AD7">
        <w:rPr>
          <w:sz w:val="24"/>
          <w:szCs w:val="24"/>
        </w:rPr>
        <w:t xml:space="preserve">, </w:t>
      </w:r>
      <w:r w:rsidR="00930AD7" w:rsidRPr="00930AD7">
        <w:rPr>
          <w:sz w:val="24"/>
          <w:szCs w:val="24"/>
        </w:rPr>
        <w:t>от 22.06.2021 № 1121-п, от 24.09.2021 № 1781-п</w:t>
      </w:r>
      <w:proofErr w:type="gramEnd"/>
      <w:r w:rsidR="00930AD7" w:rsidRPr="00930AD7">
        <w:rPr>
          <w:sz w:val="24"/>
          <w:szCs w:val="24"/>
        </w:rPr>
        <w:t>, от 15.11.2021 № 2167-п, от 20.12.2021 № 2435-п</w:t>
      </w:r>
      <w:r>
        <w:rPr>
          <w:bCs/>
          <w:sz w:val="24"/>
          <w:szCs w:val="24"/>
        </w:rPr>
        <w:t xml:space="preserve">). </w:t>
      </w:r>
    </w:p>
    <w:p w:rsidR="003E0D98" w:rsidRDefault="003E0D98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Мероприятия муниципальной программы объединены в  подпрограммы:</w:t>
      </w:r>
    </w:p>
    <w:p w:rsidR="003E0D98" w:rsidRDefault="003E0D9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Информационное сопровождение деятельности органов местного самоуправления.</w:t>
      </w:r>
    </w:p>
    <w:p w:rsidR="003E0D98" w:rsidRDefault="003E0D9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A31358">
        <w:rPr>
          <w:rFonts w:eastAsiaTheme="minorHAnsi"/>
          <w:sz w:val="24"/>
          <w:szCs w:val="24"/>
          <w:lang w:eastAsia="en-US"/>
        </w:rPr>
        <w:t>оддержка социально ориентированных некоммерческих организаций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E0D98" w:rsidRDefault="00A31358" w:rsidP="003E0D98">
      <w:pPr>
        <w:pStyle w:val="a3"/>
        <w:numPr>
          <w:ilvl w:val="0"/>
          <w:numId w:val="1"/>
        </w:numPr>
        <w:suppressAutoHyphens w:val="0"/>
        <w:autoSpaceDN w:val="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</w:r>
    </w:p>
    <w:p w:rsidR="003E0D98" w:rsidRDefault="003E0D98" w:rsidP="003E0D98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Финансовое обеспечение программных мероприятий осуществлялось </w:t>
      </w:r>
      <w:r w:rsidR="00A31358">
        <w:rPr>
          <w:bCs/>
          <w:sz w:val="24"/>
          <w:szCs w:val="24"/>
        </w:rPr>
        <w:t>за счет с</w:t>
      </w:r>
      <w:r>
        <w:rPr>
          <w:bCs/>
          <w:sz w:val="24"/>
          <w:szCs w:val="24"/>
        </w:rPr>
        <w:t xml:space="preserve">редств  бюджета Ханты-Мансийского автономного округа-Югры и бюджета города Югорска на общую сумму </w:t>
      </w:r>
      <w:r w:rsidR="00A31358" w:rsidRPr="005B0B06">
        <w:rPr>
          <w:bCs/>
          <w:sz w:val="24"/>
          <w:szCs w:val="24"/>
        </w:rPr>
        <w:t>22</w:t>
      </w:r>
      <w:r w:rsidR="00AF2096" w:rsidRPr="005B0B06">
        <w:rPr>
          <w:bCs/>
          <w:sz w:val="24"/>
          <w:szCs w:val="24"/>
        </w:rPr>
        <w:t> 534,3</w:t>
      </w:r>
      <w:r>
        <w:rPr>
          <w:bCs/>
          <w:color w:val="000000"/>
          <w:sz w:val="24"/>
          <w:szCs w:val="24"/>
        </w:rPr>
        <w:t xml:space="preserve"> </w:t>
      </w:r>
      <w:r w:rsidR="00A31358">
        <w:rPr>
          <w:bCs/>
          <w:sz w:val="24"/>
          <w:szCs w:val="24"/>
        </w:rPr>
        <w:t>тысяч рублей.</w:t>
      </w:r>
    </w:p>
    <w:p w:rsidR="003E0D98" w:rsidRDefault="003E0D98" w:rsidP="003E0D98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Подпрограмма I «</w:t>
      </w:r>
      <w:r w:rsidR="00A31358" w:rsidRPr="00A31358">
        <w:rPr>
          <w:b/>
          <w:bCs/>
          <w:i/>
          <w:sz w:val="24"/>
          <w:szCs w:val="24"/>
        </w:rPr>
        <w:t>Информационное сопровождение деятельности органов местного самоуправления</w:t>
      </w:r>
      <w:r>
        <w:rPr>
          <w:b/>
          <w:i/>
          <w:sz w:val="24"/>
          <w:szCs w:val="24"/>
        </w:rPr>
        <w:t>»</w:t>
      </w:r>
    </w:p>
    <w:p w:rsidR="00647DF7" w:rsidRDefault="00647DF7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E13F7"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 w:rsidRPr="008E13F7">
        <w:rPr>
          <w:rFonts w:eastAsiaTheme="minorHAnsi"/>
          <w:sz w:val="24"/>
          <w:szCs w:val="24"/>
          <w:lang w:val="en-US" w:eastAsia="en-US"/>
        </w:rPr>
        <w:t>I</w:t>
      </w:r>
      <w:r w:rsidRPr="008E13F7"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 </w:t>
      </w:r>
      <w:r w:rsidR="009D518D" w:rsidRPr="005B0B06">
        <w:rPr>
          <w:rFonts w:eastAsiaTheme="minorHAnsi"/>
          <w:sz w:val="24"/>
          <w:szCs w:val="24"/>
          <w:lang w:eastAsia="en-US"/>
        </w:rPr>
        <w:t>2</w:t>
      </w:r>
      <w:r w:rsidR="008E13F7" w:rsidRPr="005B0B06">
        <w:rPr>
          <w:rFonts w:eastAsiaTheme="minorHAnsi"/>
          <w:sz w:val="24"/>
          <w:szCs w:val="24"/>
          <w:lang w:eastAsia="en-US"/>
        </w:rPr>
        <w:t>1 </w:t>
      </w:r>
      <w:r w:rsidR="00595954">
        <w:rPr>
          <w:rFonts w:eastAsiaTheme="minorHAnsi"/>
          <w:sz w:val="24"/>
          <w:szCs w:val="24"/>
          <w:lang w:eastAsia="en-US"/>
        </w:rPr>
        <w:t>533</w:t>
      </w:r>
      <w:r w:rsidR="008E13F7" w:rsidRPr="005B0B06">
        <w:rPr>
          <w:rFonts w:eastAsiaTheme="minorHAnsi"/>
          <w:sz w:val="24"/>
          <w:szCs w:val="24"/>
          <w:lang w:eastAsia="en-US"/>
        </w:rPr>
        <w:t>,</w:t>
      </w:r>
      <w:r w:rsidR="00595954">
        <w:rPr>
          <w:rFonts w:eastAsiaTheme="minorHAnsi"/>
          <w:sz w:val="24"/>
          <w:szCs w:val="24"/>
          <w:lang w:eastAsia="en-US"/>
        </w:rPr>
        <w:t>2</w:t>
      </w:r>
      <w:r w:rsidR="009D518D" w:rsidRPr="008E13F7">
        <w:rPr>
          <w:rFonts w:eastAsiaTheme="minorHAnsi"/>
          <w:sz w:val="24"/>
          <w:szCs w:val="24"/>
          <w:lang w:eastAsia="en-US"/>
        </w:rPr>
        <w:t xml:space="preserve"> </w:t>
      </w:r>
      <w:r w:rsidRPr="008E13F7">
        <w:rPr>
          <w:rFonts w:eastAsiaTheme="minorHAnsi"/>
          <w:sz w:val="24"/>
          <w:szCs w:val="24"/>
          <w:lang w:eastAsia="en-US"/>
        </w:rPr>
        <w:t xml:space="preserve">тыс. рублей, из местного бюджета – </w:t>
      </w:r>
      <w:r w:rsidR="008E13F7" w:rsidRPr="005B0B06">
        <w:rPr>
          <w:rFonts w:eastAsiaTheme="minorHAnsi"/>
          <w:sz w:val="24"/>
          <w:szCs w:val="24"/>
          <w:lang w:eastAsia="en-US"/>
        </w:rPr>
        <w:t xml:space="preserve">21 </w:t>
      </w:r>
      <w:r w:rsidR="00595954">
        <w:rPr>
          <w:rFonts w:eastAsiaTheme="minorHAnsi"/>
          <w:sz w:val="24"/>
          <w:szCs w:val="24"/>
          <w:lang w:eastAsia="en-US"/>
        </w:rPr>
        <w:t>533</w:t>
      </w:r>
      <w:r w:rsidR="008E13F7" w:rsidRPr="005B0B06">
        <w:rPr>
          <w:rFonts w:eastAsiaTheme="minorHAnsi"/>
          <w:sz w:val="24"/>
          <w:szCs w:val="24"/>
          <w:lang w:eastAsia="en-US"/>
        </w:rPr>
        <w:t>,</w:t>
      </w:r>
      <w:r w:rsidR="00595954">
        <w:rPr>
          <w:rFonts w:eastAsiaTheme="minorHAnsi"/>
          <w:sz w:val="24"/>
          <w:szCs w:val="24"/>
          <w:lang w:eastAsia="en-US"/>
        </w:rPr>
        <w:t>2</w:t>
      </w:r>
      <w:r w:rsidR="008E13F7" w:rsidRPr="008E13F7">
        <w:rPr>
          <w:rFonts w:eastAsiaTheme="minorHAnsi"/>
          <w:sz w:val="24"/>
          <w:szCs w:val="24"/>
          <w:lang w:eastAsia="en-US"/>
        </w:rPr>
        <w:t xml:space="preserve"> </w:t>
      </w:r>
      <w:r w:rsidR="009D518D" w:rsidRPr="008E13F7">
        <w:rPr>
          <w:rFonts w:eastAsiaTheme="minorHAnsi"/>
          <w:sz w:val="24"/>
          <w:szCs w:val="24"/>
          <w:lang w:eastAsia="en-US"/>
        </w:rPr>
        <w:t xml:space="preserve"> </w:t>
      </w:r>
      <w:r w:rsidRPr="008E13F7">
        <w:rPr>
          <w:rFonts w:eastAsiaTheme="minorHAnsi"/>
          <w:sz w:val="24"/>
          <w:szCs w:val="24"/>
          <w:lang w:eastAsia="en-US"/>
        </w:rPr>
        <w:t>тыс. рублей. Фи</w:t>
      </w:r>
      <w:r w:rsidR="00EF4929" w:rsidRPr="008E13F7">
        <w:rPr>
          <w:rFonts w:eastAsiaTheme="minorHAnsi"/>
          <w:sz w:val="24"/>
          <w:szCs w:val="24"/>
          <w:lang w:eastAsia="en-US"/>
        </w:rPr>
        <w:t>н</w:t>
      </w:r>
      <w:r w:rsidRPr="008E13F7">
        <w:rPr>
          <w:rFonts w:eastAsiaTheme="minorHAnsi"/>
          <w:sz w:val="24"/>
          <w:szCs w:val="24"/>
          <w:lang w:eastAsia="en-US"/>
        </w:rPr>
        <w:t>ансовые средства израсходованы в полном объеме.</w:t>
      </w:r>
    </w:p>
    <w:p w:rsidR="003E0D98" w:rsidRDefault="003E0D98" w:rsidP="003E0D9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ходе реализации подпрограммы исполнены следующие мероприятия:</w:t>
      </w:r>
    </w:p>
    <w:p w:rsidR="00D02437" w:rsidRPr="00173B34" w:rsidRDefault="003E0D98" w:rsidP="003E0D98">
      <w:pPr>
        <w:ind w:firstLine="567"/>
        <w:jc w:val="both"/>
        <w:rPr>
          <w:color w:val="000000"/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 w:rsidR="000E2A76">
        <w:rPr>
          <w:i/>
          <w:sz w:val="24"/>
          <w:szCs w:val="24"/>
        </w:rPr>
        <w:t>1.</w:t>
      </w:r>
      <w:r w:rsidRPr="00647DF7">
        <w:rPr>
          <w:i/>
          <w:sz w:val="24"/>
          <w:szCs w:val="24"/>
        </w:rPr>
        <w:t>1. «О</w:t>
      </w:r>
      <w:r w:rsidR="00647DF7" w:rsidRPr="00647DF7">
        <w:rPr>
          <w:i/>
          <w:sz w:val="24"/>
          <w:szCs w:val="24"/>
        </w:rPr>
        <w:t>свещение в средствах массовой информации деятельности органов местного самоуправления, социально-экономического развития города Югорска</w:t>
      </w:r>
      <w:r w:rsidRPr="00647DF7">
        <w:rPr>
          <w:i/>
          <w:color w:val="000000"/>
          <w:sz w:val="24"/>
          <w:szCs w:val="24"/>
        </w:rPr>
        <w:t>»</w:t>
      </w:r>
      <w:r w:rsidR="00647DF7" w:rsidRPr="00647DF7">
        <w:rPr>
          <w:i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647DF7" w:rsidRPr="00173B34">
        <w:rPr>
          <w:color w:val="000000"/>
          <w:sz w:val="24"/>
          <w:szCs w:val="24"/>
        </w:rPr>
        <w:t xml:space="preserve">В отчетном периоде с целью обеспечения открытости деятельности администрации в эфире телекомпании «Югорск ТВ» размещены </w:t>
      </w:r>
      <w:r w:rsidR="00D02437" w:rsidRPr="00173B34">
        <w:rPr>
          <w:color w:val="000000"/>
          <w:sz w:val="24"/>
          <w:szCs w:val="24"/>
        </w:rPr>
        <w:t xml:space="preserve">информационные материалы </w:t>
      </w:r>
      <w:r w:rsidR="00550069" w:rsidRPr="00173B34">
        <w:rPr>
          <w:color w:val="000000"/>
          <w:sz w:val="24"/>
          <w:szCs w:val="24"/>
        </w:rPr>
        <w:t xml:space="preserve">о деятельности </w:t>
      </w:r>
      <w:r w:rsidR="00AF2096">
        <w:rPr>
          <w:color w:val="000000"/>
          <w:sz w:val="24"/>
          <w:szCs w:val="24"/>
        </w:rPr>
        <w:t>органов местного самоуправления</w:t>
      </w:r>
      <w:r w:rsidR="00550069" w:rsidRPr="00173B34">
        <w:rPr>
          <w:color w:val="000000"/>
          <w:sz w:val="24"/>
          <w:szCs w:val="24"/>
        </w:rPr>
        <w:t xml:space="preserve"> </w:t>
      </w:r>
      <w:r w:rsidR="00D02437" w:rsidRPr="00173B34">
        <w:rPr>
          <w:color w:val="000000"/>
          <w:sz w:val="24"/>
          <w:szCs w:val="24"/>
        </w:rPr>
        <w:t xml:space="preserve">(новостные программы, </w:t>
      </w:r>
      <w:proofErr w:type="spellStart"/>
      <w:r w:rsidR="00D02437" w:rsidRPr="00173B34">
        <w:rPr>
          <w:color w:val="000000"/>
          <w:sz w:val="24"/>
          <w:szCs w:val="24"/>
        </w:rPr>
        <w:t>спецрепортажи</w:t>
      </w:r>
      <w:proofErr w:type="spellEnd"/>
      <w:r w:rsidR="00D02437" w:rsidRPr="00173B34">
        <w:rPr>
          <w:color w:val="000000"/>
          <w:sz w:val="24"/>
          <w:szCs w:val="24"/>
        </w:rPr>
        <w:t xml:space="preserve">, интервью с должностными лицами </w:t>
      </w:r>
      <w:r w:rsidR="00AF2096">
        <w:rPr>
          <w:color w:val="000000"/>
          <w:sz w:val="24"/>
          <w:szCs w:val="24"/>
        </w:rPr>
        <w:t>органов местного самоуправления</w:t>
      </w:r>
      <w:r w:rsidR="00FB4E96" w:rsidRPr="00173B34">
        <w:rPr>
          <w:color w:val="000000"/>
          <w:sz w:val="24"/>
          <w:szCs w:val="24"/>
        </w:rPr>
        <w:t xml:space="preserve">) в объеме </w:t>
      </w:r>
      <w:r w:rsidR="005648C0">
        <w:rPr>
          <w:color w:val="000000"/>
          <w:sz w:val="24"/>
          <w:szCs w:val="24"/>
        </w:rPr>
        <w:t>1 8</w:t>
      </w:r>
      <w:r w:rsidR="00F760DC">
        <w:rPr>
          <w:color w:val="000000"/>
          <w:sz w:val="24"/>
          <w:szCs w:val="24"/>
        </w:rPr>
        <w:t>55</w:t>
      </w:r>
      <w:r w:rsidR="00FB4E96" w:rsidRPr="00173B34">
        <w:rPr>
          <w:color w:val="000000"/>
          <w:sz w:val="24"/>
          <w:szCs w:val="24"/>
        </w:rPr>
        <w:t xml:space="preserve"> </w:t>
      </w:r>
      <w:r w:rsidR="00D02437" w:rsidRPr="00173B34">
        <w:rPr>
          <w:color w:val="000000"/>
          <w:sz w:val="24"/>
          <w:szCs w:val="24"/>
        </w:rPr>
        <w:t xml:space="preserve">минут. В городской газете «Югорский вестник» </w:t>
      </w:r>
      <w:r w:rsidR="00A97DED" w:rsidRPr="00173B34">
        <w:rPr>
          <w:color w:val="000000"/>
          <w:sz w:val="24"/>
          <w:szCs w:val="24"/>
        </w:rPr>
        <w:t xml:space="preserve">еженедельно публиковалась </w:t>
      </w:r>
      <w:r w:rsidR="00D02437" w:rsidRPr="00173B34">
        <w:rPr>
          <w:color w:val="000000"/>
          <w:sz w:val="24"/>
          <w:szCs w:val="24"/>
        </w:rPr>
        <w:t>информация о социально-экономическом развитии города</w:t>
      </w:r>
      <w:r w:rsidR="00A97DED" w:rsidRPr="00173B34">
        <w:rPr>
          <w:color w:val="000000"/>
          <w:sz w:val="24"/>
          <w:szCs w:val="24"/>
        </w:rPr>
        <w:t xml:space="preserve"> и иная</w:t>
      </w:r>
      <w:r w:rsidR="00D02437" w:rsidRPr="00173B34">
        <w:rPr>
          <w:color w:val="000000"/>
          <w:sz w:val="24"/>
          <w:szCs w:val="24"/>
        </w:rPr>
        <w:t xml:space="preserve"> официальная информация</w:t>
      </w:r>
      <w:r w:rsidR="00711C27">
        <w:rPr>
          <w:color w:val="000000"/>
          <w:sz w:val="24"/>
          <w:szCs w:val="24"/>
        </w:rPr>
        <w:t xml:space="preserve">. Общий </w:t>
      </w:r>
      <w:r w:rsidR="007A50C0">
        <w:rPr>
          <w:color w:val="000000"/>
          <w:sz w:val="24"/>
          <w:szCs w:val="24"/>
        </w:rPr>
        <w:t>объем</w:t>
      </w:r>
      <w:r w:rsidR="00711C27">
        <w:rPr>
          <w:color w:val="000000"/>
          <w:sz w:val="24"/>
          <w:szCs w:val="24"/>
        </w:rPr>
        <w:t xml:space="preserve"> опубликованной информации </w:t>
      </w:r>
      <w:r w:rsidR="007A50C0">
        <w:rPr>
          <w:color w:val="000000"/>
          <w:sz w:val="24"/>
          <w:szCs w:val="24"/>
        </w:rPr>
        <w:t xml:space="preserve">1 885 полос. </w:t>
      </w:r>
      <w:r w:rsidR="00A97DED" w:rsidRPr="00173B34">
        <w:rPr>
          <w:color w:val="000000"/>
          <w:sz w:val="24"/>
          <w:szCs w:val="24"/>
        </w:rPr>
        <w:t>В отчетном периоде издан 5</w:t>
      </w:r>
      <w:r w:rsidR="00173B34">
        <w:rPr>
          <w:color w:val="000000"/>
          <w:sz w:val="24"/>
          <w:szCs w:val="24"/>
        </w:rPr>
        <w:t>1</w:t>
      </w:r>
      <w:r w:rsidR="00A97DED" w:rsidRPr="00173B34">
        <w:rPr>
          <w:color w:val="000000"/>
          <w:sz w:val="24"/>
          <w:szCs w:val="24"/>
        </w:rPr>
        <w:t xml:space="preserve"> выпуск городской газеты «Югорский вестник»</w:t>
      </w:r>
      <w:r w:rsidR="00D02437" w:rsidRPr="00173B34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0E6F12" w:rsidRPr="00173B34" w:rsidRDefault="000E2A76" w:rsidP="003E0D98">
      <w:pPr>
        <w:ind w:firstLine="567"/>
        <w:jc w:val="both"/>
        <w:rPr>
          <w:color w:val="000000"/>
          <w:sz w:val="24"/>
          <w:szCs w:val="24"/>
        </w:rPr>
      </w:pPr>
      <w:r w:rsidRPr="00173B34">
        <w:rPr>
          <w:color w:val="000000"/>
          <w:sz w:val="24"/>
          <w:szCs w:val="24"/>
        </w:rPr>
        <w:t xml:space="preserve">Для исполнения мероприятий подпрограммы использовались 2 механизма: предоставление субсидии и конкурентные закупки, предусмотренные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 </w:t>
      </w:r>
      <w:r w:rsidR="000E6F12" w:rsidRPr="00173B34">
        <w:rPr>
          <w:color w:val="000000"/>
          <w:sz w:val="24"/>
          <w:szCs w:val="24"/>
        </w:rPr>
        <w:t>Денежные средства, предусмотренные на оплату расходов, связанных с опубликование муниципальных правовых актов</w:t>
      </w:r>
      <w:r w:rsidRPr="00173B34">
        <w:rPr>
          <w:color w:val="000000"/>
          <w:sz w:val="24"/>
          <w:szCs w:val="24"/>
        </w:rPr>
        <w:t>,</w:t>
      </w:r>
      <w:r w:rsidR="000E6F12" w:rsidRPr="00173B34">
        <w:rPr>
          <w:color w:val="000000"/>
          <w:sz w:val="24"/>
          <w:szCs w:val="24"/>
        </w:rPr>
        <w:t xml:space="preserve"> и публикацией информационных </w:t>
      </w:r>
      <w:r w:rsidRPr="00173B34">
        <w:rPr>
          <w:color w:val="000000"/>
          <w:sz w:val="24"/>
          <w:szCs w:val="24"/>
        </w:rPr>
        <w:t xml:space="preserve">материалов в </w:t>
      </w:r>
      <w:r w:rsidR="000E6F12" w:rsidRPr="00173B34">
        <w:rPr>
          <w:color w:val="000000"/>
          <w:sz w:val="24"/>
          <w:szCs w:val="24"/>
        </w:rPr>
        <w:t xml:space="preserve">городской газете, расходовались на основании соглашения № </w:t>
      </w:r>
      <w:r w:rsidR="005A0950">
        <w:rPr>
          <w:color w:val="000000"/>
          <w:sz w:val="24"/>
          <w:szCs w:val="24"/>
        </w:rPr>
        <w:t>1 от 11</w:t>
      </w:r>
      <w:r w:rsidR="000E6F12" w:rsidRPr="00173B34">
        <w:rPr>
          <w:color w:val="000000"/>
          <w:sz w:val="24"/>
          <w:szCs w:val="24"/>
        </w:rPr>
        <w:t>.</w:t>
      </w:r>
      <w:r w:rsidR="00173B34">
        <w:rPr>
          <w:color w:val="000000"/>
          <w:sz w:val="24"/>
          <w:szCs w:val="24"/>
        </w:rPr>
        <w:t>01</w:t>
      </w:r>
      <w:r w:rsidR="000E6F12" w:rsidRPr="00173B34">
        <w:rPr>
          <w:color w:val="000000"/>
          <w:sz w:val="24"/>
          <w:szCs w:val="24"/>
        </w:rPr>
        <w:t>.20</w:t>
      </w:r>
      <w:r w:rsidR="00173B34">
        <w:rPr>
          <w:color w:val="000000"/>
          <w:sz w:val="24"/>
          <w:szCs w:val="24"/>
        </w:rPr>
        <w:t>2</w:t>
      </w:r>
      <w:r w:rsidR="005A0950">
        <w:rPr>
          <w:color w:val="000000"/>
          <w:sz w:val="24"/>
          <w:szCs w:val="24"/>
        </w:rPr>
        <w:t>1</w:t>
      </w:r>
      <w:r w:rsidR="000E6F12" w:rsidRPr="00173B34">
        <w:rPr>
          <w:color w:val="000000"/>
          <w:sz w:val="24"/>
          <w:szCs w:val="24"/>
        </w:rPr>
        <w:t>. Соглашение заключено администрацией города Югорска и муниципальным унитарным предприятием города Югорска «Югорский информационно-издательский центр» в соответствии с постановлением администрации города Югорска от 22.12.2016 № 3296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информации»</w:t>
      </w:r>
      <w:r w:rsidR="00550069" w:rsidRPr="00173B34">
        <w:rPr>
          <w:color w:val="000000"/>
          <w:sz w:val="24"/>
          <w:szCs w:val="24"/>
        </w:rPr>
        <w:t xml:space="preserve">. Финансовое обеспечение субсидии составило </w:t>
      </w:r>
      <w:r w:rsidR="005A0950">
        <w:rPr>
          <w:b/>
          <w:color w:val="000000"/>
          <w:sz w:val="24"/>
          <w:szCs w:val="24"/>
        </w:rPr>
        <w:t>11 233</w:t>
      </w:r>
      <w:r w:rsidR="00550069" w:rsidRPr="00173B34">
        <w:rPr>
          <w:b/>
          <w:color w:val="000000"/>
          <w:sz w:val="24"/>
          <w:szCs w:val="24"/>
        </w:rPr>
        <w:t>,</w:t>
      </w:r>
      <w:r w:rsidR="005A0950">
        <w:rPr>
          <w:b/>
          <w:color w:val="000000"/>
          <w:sz w:val="24"/>
          <w:szCs w:val="24"/>
        </w:rPr>
        <w:t>4</w:t>
      </w:r>
      <w:r w:rsidR="00550069" w:rsidRPr="00173B34">
        <w:rPr>
          <w:color w:val="000000"/>
          <w:sz w:val="24"/>
          <w:szCs w:val="24"/>
        </w:rPr>
        <w:t xml:space="preserve"> тыс. рублей.</w:t>
      </w:r>
    </w:p>
    <w:p w:rsidR="000E6F12" w:rsidRDefault="00550069" w:rsidP="003E0D98">
      <w:pPr>
        <w:ind w:firstLine="567"/>
        <w:jc w:val="both"/>
        <w:rPr>
          <w:color w:val="000000"/>
          <w:sz w:val="24"/>
          <w:szCs w:val="24"/>
        </w:rPr>
      </w:pPr>
      <w:r w:rsidRPr="00173B34">
        <w:rPr>
          <w:color w:val="000000"/>
          <w:sz w:val="24"/>
          <w:szCs w:val="24"/>
        </w:rPr>
        <w:lastRenderedPageBreak/>
        <w:t>Расходование денежных средств, предусмотренных</w:t>
      </w:r>
      <w:r w:rsidR="001A1B2E">
        <w:rPr>
          <w:color w:val="000000"/>
          <w:sz w:val="24"/>
          <w:szCs w:val="24"/>
        </w:rPr>
        <w:t xml:space="preserve"> на</w:t>
      </w:r>
      <w:r w:rsidRPr="00173B34">
        <w:rPr>
          <w:color w:val="000000"/>
          <w:sz w:val="24"/>
          <w:szCs w:val="24"/>
        </w:rPr>
        <w:t xml:space="preserve"> подготовку и размещение в эфире телекомпании «Югорск ТВ» информационных материалов о деятельности администрации города</w:t>
      </w:r>
      <w:r w:rsidR="000E2A76" w:rsidRPr="00173B34">
        <w:rPr>
          <w:color w:val="000000"/>
          <w:sz w:val="24"/>
          <w:szCs w:val="24"/>
        </w:rPr>
        <w:t>,</w:t>
      </w:r>
      <w:r w:rsidRPr="00173B34">
        <w:rPr>
          <w:color w:val="000000"/>
          <w:sz w:val="24"/>
          <w:szCs w:val="24"/>
        </w:rPr>
        <w:t xml:space="preserve"> осуществлялось в соответствии с муниципальными контрактами, заключенными администрацией города Югорска</w:t>
      </w:r>
      <w:r w:rsidR="000E2A76" w:rsidRPr="00173B34">
        <w:rPr>
          <w:color w:val="000000"/>
          <w:sz w:val="24"/>
          <w:szCs w:val="24"/>
        </w:rPr>
        <w:t xml:space="preserve">. Муниципальные контракты заключены </w:t>
      </w:r>
      <w:r w:rsidRPr="00173B34">
        <w:rPr>
          <w:color w:val="000000"/>
          <w:sz w:val="24"/>
          <w:szCs w:val="24"/>
        </w:rPr>
        <w:t>по итогам проведения конкурсных процедур отбора исполнителя в соответствии с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 В 20</w:t>
      </w:r>
      <w:r w:rsidR="006C0B41">
        <w:rPr>
          <w:color w:val="000000"/>
          <w:sz w:val="24"/>
          <w:szCs w:val="24"/>
        </w:rPr>
        <w:t>2</w:t>
      </w:r>
      <w:r w:rsidR="005A0950">
        <w:rPr>
          <w:color w:val="000000"/>
          <w:sz w:val="24"/>
          <w:szCs w:val="24"/>
        </w:rPr>
        <w:t>1</w:t>
      </w:r>
      <w:r w:rsidRPr="00173B34">
        <w:rPr>
          <w:color w:val="000000"/>
          <w:sz w:val="24"/>
          <w:szCs w:val="24"/>
        </w:rPr>
        <w:t xml:space="preserve"> году проведено </w:t>
      </w:r>
      <w:r w:rsidR="001A1B2E">
        <w:rPr>
          <w:color w:val="000000"/>
          <w:sz w:val="24"/>
          <w:szCs w:val="24"/>
        </w:rPr>
        <w:t>2</w:t>
      </w:r>
      <w:r w:rsidRPr="00173B34">
        <w:rPr>
          <w:color w:val="000000"/>
          <w:sz w:val="24"/>
          <w:szCs w:val="24"/>
        </w:rPr>
        <w:t xml:space="preserve"> аукциона в электронной форме. По итогам аукционов победителем и исполнителем услуг стало муниципальное унитарное предприятие города Югорска «Югорский информационно-издательский центр».</w:t>
      </w:r>
      <w:r w:rsidR="000E2A76" w:rsidRPr="00173B34">
        <w:rPr>
          <w:color w:val="000000"/>
          <w:sz w:val="24"/>
          <w:szCs w:val="24"/>
        </w:rPr>
        <w:t xml:space="preserve"> Общая сумма муниципальных контрактов составила </w:t>
      </w:r>
      <w:r w:rsidR="005A0950" w:rsidRPr="005A0950">
        <w:rPr>
          <w:b/>
          <w:color w:val="000000"/>
          <w:sz w:val="24"/>
          <w:szCs w:val="24"/>
        </w:rPr>
        <w:t>10</w:t>
      </w:r>
      <w:r w:rsidR="005A0950">
        <w:rPr>
          <w:b/>
          <w:color w:val="000000"/>
          <w:sz w:val="24"/>
          <w:szCs w:val="24"/>
        </w:rPr>
        <w:t> </w:t>
      </w:r>
      <w:r w:rsidR="005A0950" w:rsidRPr="005A0950">
        <w:rPr>
          <w:b/>
          <w:color w:val="000000"/>
          <w:sz w:val="24"/>
          <w:szCs w:val="24"/>
        </w:rPr>
        <w:t>299</w:t>
      </w:r>
      <w:r w:rsidR="005A0950">
        <w:rPr>
          <w:b/>
          <w:color w:val="000000"/>
          <w:sz w:val="24"/>
          <w:szCs w:val="24"/>
        </w:rPr>
        <w:t xml:space="preserve">,8 </w:t>
      </w:r>
      <w:r w:rsidR="000E2A76" w:rsidRPr="00173B34">
        <w:rPr>
          <w:color w:val="000000"/>
          <w:sz w:val="24"/>
          <w:szCs w:val="24"/>
        </w:rPr>
        <w:t>рублей.</w:t>
      </w:r>
    </w:p>
    <w:p w:rsidR="003E0D98" w:rsidRPr="000E2A76" w:rsidRDefault="003E0D98" w:rsidP="003E0D98">
      <w:pPr>
        <w:ind w:firstLine="567"/>
        <w:jc w:val="both"/>
        <w:rPr>
          <w:i/>
          <w:sz w:val="24"/>
          <w:szCs w:val="24"/>
        </w:rPr>
      </w:pPr>
      <w:r w:rsidRPr="000E2A76">
        <w:rPr>
          <w:i/>
          <w:sz w:val="24"/>
          <w:szCs w:val="24"/>
        </w:rPr>
        <w:t xml:space="preserve">Мероприятие </w:t>
      </w:r>
      <w:r w:rsidR="000E2A76" w:rsidRPr="000E2A76">
        <w:rPr>
          <w:i/>
          <w:sz w:val="24"/>
          <w:szCs w:val="24"/>
        </w:rPr>
        <w:t>1.</w:t>
      </w:r>
      <w:r w:rsidRPr="000E2A76">
        <w:rPr>
          <w:i/>
          <w:sz w:val="24"/>
          <w:szCs w:val="24"/>
        </w:rPr>
        <w:t>2. «</w:t>
      </w:r>
      <w:r w:rsidR="000E2A76" w:rsidRPr="000E2A76">
        <w:rPr>
          <w:i/>
          <w:sz w:val="24"/>
          <w:szCs w:val="24"/>
        </w:rPr>
        <w:t>Мониторинг информационного сопровождения деятельности органов местного самоуправления, социально-экономического развития города Югорска</w:t>
      </w:r>
      <w:r w:rsidRPr="000E2A76">
        <w:rPr>
          <w:i/>
          <w:sz w:val="24"/>
          <w:szCs w:val="24"/>
        </w:rPr>
        <w:t>»</w:t>
      </w:r>
    </w:p>
    <w:p w:rsidR="00EF4929" w:rsidRDefault="000E2A76" w:rsidP="003E0D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автоматизации поиска публикаций в средствах массовой информации (в том числе электронных) и в ресурсах сети Интернет </w:t>
      </w:r>
      <w:r w:rsidR="00EF4929">
        <w:rPr>
          <w:sz w:val="24"/>
          <w:szCs w:val="24"/>
        </w:rPr>
        <w:t xml:space="preserve">о деятельности органов местного самоуправления Югорска </w:t>
      </w:r>
      <w:r>
        <w:rPr>
          <w:sz w:val="24"/>
          <w:szCs w:val="24"/>
        </w:rPr>
        <w:t>на 20</w:t>
      </w:r>
      <w:r w:rsidR="005A0950">
        <w:rPr>
          <w:sz w:val="24"/>
          <w:szCs w:val="24"/>
        </w:rPr>
        <w:t>21</w:t>
      </w:r>
      <w:r>
        <w:rPr>
          <w:sz w:val="24"/>
          <w:szCs w:val="24"/>
        </w:rPr>
        <w:t xml:space="preserve"> год заключен муниципальный контракт </w:t>
      </w:r>
      <w:r w:rsidR="00EF4929">
        <w:rPr>
          <w:sz w:val="24"/>
          <w:szCs w:val="24"/>
        </w:rPr>
        <w:t>информационного мониторинга.</w:t>
      </w:r>
    </w:p>
    <w:p w:rsidR="00EF4929" w:rsidRDefault="003645C8" w:rsidP="003E0D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Получено и отработано </w:t>
      </w:r>
      <w:r w:rsidR="005A0950">
        <w:rPr>
          <w:sz w:val="24"/>
          <w:szCs w:val="24"/>
        </w:rPr>
        <w:t>247</w:t>
      </w:r>
      <w:r w:rsidR="00EF4929">
        <w:rPr>
          <w:sz w:val="24"/>
          <w:szCs w:val="24"/>
        </w:rPr>
        <w:t xml:space="preserve"> ежедневных отчета о публикациях информационных материалов о деятельности органов местного самоуправления города в местных, региональных, федеральных СМИ и на ресурсах в сети Интернет. По итогам анализа публикаций осуществлялись корректировки информационной повестки и технических заданий для подготовки информационных материалов о деятельности ОМСУ Югорска, размещенных в эфире телекомпании Югорск ТВ и в городской газете «Югорский вестник».</w:t>
      </w:r>
    </w:p>
    <w:p w:rsidR="000E2A76" w:rsidRDefault="00A97DED" w:rsidP="003E0D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расходовании денежных средств на реализацию данного мероприятия использован механизм конкурсного отбора поставщика услуг в соответствии с требованиями федерального закона № 44-ФЗ от </w:t>
      </w:r>
      <w:r w:rsidRPr="00A97DED">
        <w:rPr>
          <w:sz w:val="24"/>
          <w:szCs w:val="24"/>
        </w:rPr>
        <w:t>5 апреля 2013 года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 </w:t>
      </w:r>
      <w:r w:rsidR="00EF4929">
        <w:rPr>
          <w:sz w:val="24"/>
          <w:szCs w:val="24"/>
        </w:rPr>
        <w:t xml:space="preserve">Контракт заключен по итогам </w:t>
      </w:r>
      <w:r w:rsidR="005A0950">
        <w:rPr>
          <w:sz w:val="24"/>
          <w:szCs w:val="24"/>
        </w:rPr>
        <w:t xml:space="preserve">2 </w:t>
      </w:r>
      <w:r>
        <w:rPr>
          <w:sz w:val="24"/>
          <w:szCs w:val="24"/>
        </w:rPr>
        <w:t>аукцион</w:t>
      </w:r>
      <w:r w:rsidR="005A0950">
        <w:rPr>
          <w:sz w:val="24"/>
          <w:szCs w:val="24"/>
        </w:rPr>
        <w:t>ов в электронной форме</w:t>
      </w:r>
      <w:r>
        <w:rPr>
          <w:sz w:val="24"/>
          <w:szCs w:val="24"/>
        </w:rPr>
        <w:t>.</w:t>
      </w:r>
      <w:r w:rsidR="0002403E">
        <w:rPr>
          <w:sz w:val="24"/>
          <w:szCs w:val="24"/>
        </w:rPr>
        <w:t xml:space="preserve"> Сумма контракта </w:t>
      </w:r>
      <w:r w:rsidR="0002403E" w:rsidRPr="0002403E">
        <w:rPr>
          <w:b/>
          <w:sz w:val="24"/>
          <w:szCs w:val="24"/>
        </w:rPr>
        <w:t>18</w:t>
      </w:r>
      <w:r w:rsidR="005A0950">
        <w:rPr>
          <w:b/>
          <w:sz w:val="24"/>
          <w:szCs w:val="24"/>
        </w:rPr>
        <w:t>9</w:t>
      </w:r>
      <w:r w:rsidR="0002403E">
        <w:rPr>
          <w:b/>
          <w:sz w:val="24"/>
          <w:szCs w:val="24"/>
        </w:rPr>
        <w:t>,</w:t>
      </w:r>
      <w:r w:rsidR="008E13F7">
        <w:rPr>
          <w:b/>
          <w:sz w:val="24"/>
          <w:szCs w:val="24"/>
        </w:rPr>
        <w:t>0</w:t>
      </w:r>
      <w:r w:rsidR="0002403E">
        <w:rPr>
          <w:b/>
          <w:sz w:val="24"/>
          <w:szCs w:val="24"/>
        </w:rPr>
        <w:t xml:space="preserve"> тыс. рублей</w:t>
      </w:r>
      <w:r w:rsidR="0002403E">
        <w:rPr>
          <w:sz w:val="24"/>
          <w:szCs w:val="24"/>
        </w:rPr>
        <w:t>.</w:t>
      </w:r>
    </w:p>
    <w:p w:rsidR="003E0D98" w:rsidRDefault="00A97DED" w:rsidP="00A97D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позволила достичь следующих значений</w:t>
      </w:r>
      <w:r w:rsidR="003E0D98">
        <w:rPr>
          <w:sz w:val="24"/>
          <w:szCs w:val="24"/>
        </w:rPr>
        <w:t xml:space="preserve"> показ</w:t>
      </w:r>
      <w:r>
        <w:rPr>
          <w:sz w:val="24"/>
          <w:szCs w:val="24"/>
        </w:rPr>
        <w:t>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65"/>
        <w:gridCol w:w="1375"/>
        <w:gridCol w:w="1454"/>
        <w:gridCol w:w="1539"/>
        <w:gridCol w:w="1438"/>
      </w:tblGrid>
      <w:tr w:rsidR="0002403E" w:rsidTr="005A0950">
        <w:tc>
          <w:tcPr>
            <w:tcW w:w="3765" w:type="dxa"/>
          </w:tcPr>
          <w:p w:rsidR="0002403E" w:rsidRDefault="0002403E" w:rsidP="00A97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75" w:type="dxa"/>
          </w:tcPr>
          <w:p w:rsidR="0002403E" w:rsidRDefault="0002403E" w:rsidP="007E64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4" w:type="dxa"/>
          </w:tcPr>
          <w:p w:rsidR="0002403E" w:rsidRDefault="000918BE" w:rsidP="000918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Плановое значение </w:t>
            </w:r>
            <w:r w:rsidR="0002403E">
              <w:rPr>
                <w:sz w:val="24"/>
                <w:szCs w:val="24"/>
              </w:rPr>
              <w:t>показателя в отчетном периоде</w:t>
            </w:r>
          </w:p>
        </w:tc>
        <w:tc>
          <w:tcPr>
            <w:tcW w:w="1539" w:type="dxa"/>
          </w:tcPr>
          <w:p w:rsidR="0002403E" w:rsidRDefault="000918BE" w:rsidP="000918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</w:t>
            </w:r>
            <w:r w:rsidR="0002403E">
              <w:rPr>
                <w:sz w:val="24"/>
                <w:szCs w:val="24"/>
              </w:rPr>
              <w:t>начение показателя в отчетном периоде</w:t>
            </w:r>
          </w:p>
        </w:tc>
        <w:tc>
          <w:tcPr>
            <w:tcW w:w="1438" w:type="dxa"/>
          </w:tcPr>
          <w:p w:rsidR="0002403E" w:rsidRDefault="0002403E" w:rsidP="007E64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достижения</w:t>
            </w:r>
          </w:p>
        </w:tc>
      </w:tr>
      <w:tr w:rsidR="005A0950" w:rsidRPr="0002403E" w:rsidTr="00AF2096">
        <w:tc>
          <w:tcPr>
            <w:tcW w:w="3765" w:type="dxa"/>
          </w:tcPr>
          <w:p w:rsidR="005A0950" w:rsidRPr="0002403E" w:rsidRDefault="005A0950" w:rsidP="0002403E">
            <w:pPr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Объем информационных сообщений о деятельности органов местного самоуправления города Югорска в изданиях, зарегистрированных в качестве средств массовой информации.</w:t>
            </w:r>
          </w:p>
        </w:tc>
        <w:tc>
          <w:tcPr>
            <w:tcW w:w="1375" w:type="dxa"/>
          </w:tcPr>
          <w:p w:rsidR="005A0950" w:rsidRPr="0002403E" w:rsidRDefault="005A0950" w:rsidP="0002403E">
            <w:pPr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Газетная полоса</w:t>
            </w:r>
          </w:p>
        </w:tc>
        <w:tc>
          <w:tcPr>
            <w:tcW w:w="1454" w:type="dxa"/>
            <w:vAlign w:val="center"/>
          </w:tcPr>
          <w:p w:rsidR="005A0950" w:rsidRPr="00AF2096" w:rsidRDefault="005A0950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AF2096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39" w:type="dxa"/>
            <w:vAlign w:val="center"/>
          </w:tcPr>
          <w:p w:rsidR="005A0950" w:rsidRPr="00AF2096" w:rsidRDefault="005A0950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AF2096">
              <w:rPr>
                <w:color w:val="000000"/>
                <w:sz w:val="22"/>
                <w:szCs w:val="22"/>
              </w:rPr>
              <w:t>690,35</w:t>
            </w:r>
          </w:p>
        </w:tc>
        <w:tc>
          <w:tcPr>
            <w:tcW w:w="1438" w:type="dxa"/>
            <w:vAlign w:val="center"/>
          </w:tcPr>
          <w:p w:rsidR="005A0950" w:rsidRPr="00AF2096" w:rsidRDefault="005A0950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AF2096">
              <w:rPr>
                <w:color w:val="000000"/>
                <w:sz w:val="22"/>
                <w:szCs w:val="22"/>
              </w:rPr>
              <w:t>112,80%</w:t>
            </w:r>
          </w:p>
          <w:p w:rsidR="005A0950" w:rsidRPr="00AF2096" w:rsidRDefault="005A0950" w:rsidP="00AF20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2096" w:rsidRPr="0002403E" w:rsidTr="00AF2096">
        <w:tc>
          <w:tcPr>
            <w:tcW w:w="3765" w:type="dxa"/>
          </w:tcPr>
          <w:p w:rsidR="00AF2096" w:rsidRPr="0002403E" w:rsidRDefault="00AF2096" w:rsidP="0002403E">
            <w:pPr>
              <w:jc w:val="center"/>
              <w:rPr>
                <w:sz w:val="22"/>
                <w:szCs w:val="22"/>
              </w:rPr>
            </w:pPr>
            <w:r w:rsidRPr="0002403E">
              <w:rPr>
                <w:sz w:val="22"/>
                <w:szCs w:val="22"/>
              </w:rPr>
              <w:t>Объем информационных сообщений о деятельности органов местного самоуправления города Югорска и социально-культурном развитии города Югорска в эфире телевизионных каналов.</w:t>
            </w:r>
          </w:p>
        </w:tc>
        <w:tc>
          <w:tcPr>
            <w:tcW w:w="1375" w:type="dxa"/>
          </w:tcPr>
          <w:p w:rsidR="00AF2096" w:rsidRPr="0002403E" w:rsidRDefault="00AF2096" w:rsidP="0002403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03E">
              <w:rPr>
                <w:rFonts w:ascii="Times New Roman" w:hAnsi="Times New Roman" w:cs="Times New Roman"/>
                <w:sz w:val="22"/>
                <w:szCs w:val="22"/>
              </w:rPr>
              <w:t>минуты</w:t>
            </w:r>
          </w:p>
        </w:tc>
        <w:tc>
          <w:tcPr>
            <w:tcW w:w="1454" w:type="dxa"/>
            <w:vAlign w:val="center"/>
          </w:tcPr>
          <w:p w:rsidR="00AF2096" w:rsidRPr="00AF2096" w:rsidRDefault="00AF2096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AF2096"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539" w:type="dxa"/>
            <w:vAlign w:val="center"/>
          </w:tcPr>
          <w:p w:rsidR="00AF2096" w:rsidRPr="00AF2096" w:rsidRDefault="00AF2096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AF2096">
              <w:rPr>
                <w:color w:val="000000"/>
                <w:sz w:val="22"/>
                <w:szCs w:val="22"/>
              </w:rPr>
              <w:t>1855</w:t>
            </w:r>
          </w:p>
        </w:tc>
        <w:tc>
          <w:tcPr>
            <w:tcW w:w="1438" w:type="dxa"/>
            <w:vAlign w:val="center"/>
          </w:tcPr>
          <w:p w:rsidR="00AF2096" w:rsidRPr="00AF2096" w:rsidRDefault="00AF2096" w:rsidP="00AF2096">
            <w:pPr>
              <w:jc w:val="center"/>
              <w:rPr>
                <w:color w:val="000000"/>
                <w:sz w:val="22"/>
                <w:szCs w:val="22"/>
              </w:rPr>
            </w:pPr>
            <w:r w:rsidRPr="00AF2096">
              <w:rPr>
                <w:color w:val="000000"/>
                <w:sz w:val="22"/>
                <w:szCs w:val="22"/>
              </w:rPr>
              <w:t>100,27%</w:t>
            </w:r>
          </w:p>
          <w:p w:rsidR="00AF2096" w:rsidRPr="00AF2096" w:rsidRDefault="00AF2096" w:rsidP="00AF20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E0D98" w:rsidRDefault="003E0D98" w:rsidP="003E0D9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Мероприятия подпрограммы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выполнены в полном объеме</w:t>
      </w:r>
      <w:r w:rsidR="00ED3FD3">
        <w:rPr>
          <w:rFonts w:eastAsiaTheme="minorHAnsi"/>
          <w:sz w:val="24"/>
          <w:szCs w:val="24"/>
          <w:lang w:eastAsia="en-US"/>
        </w:rPr>
        <w:t xml:space="preserve">. </w:t>
      </w:r>
      <w:r w:rsidR="00800654">
        <w:rPr>
          <w:rFonts w:eastAsiaTheme="minorHAnsi"/>
          <w:sz w:val="24"/>
          <w:szCs w:val="24"/>
          <w:lang w:eastAsia="en-US"/>
        </w:rPr>
        <w:t xml:space="preserve"> Целевые показатели достигнуты.</w:t>
      </w:r>
    </w:p>
    <w:p w:rsidR="003B5791" w:rsidRDefault="003B5791">
      <w:pPr>
        <w:rPr>
          <w:sz w:val="24"/>
          <w:szCs w:val="24"/>
        </w:rPr>
      </w:pPr>
    </w:p>
    <w:p w:rsidR="00273157" w:rsidRDefault="00273157" w:rsidP="00273157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Подпрограмма </w:t>
      </w:r>
      <w:r>
        <w:rPr>
          <w:b/>
          <w:i/>
          <w:sz w:val="24"/>
          <w:szCs w:val="24"/>
          <w:lang w:val="en-US"/>
        </w:rPr>
        <w:t>I</w:t>
      </w:r>
      <w:r>
        <w:rPr>
          <w:b/>
          <w:i/>
          <w:sz w:val="24"/>
          <w:szCs w:val="24"/>
        </w:rPr>
        <w:t>I «</w:t>
      </w:r>
      <w:r>
        <w:rPr>
          <w:b/>
          <w:bCs/>
          <w:i/>
          <w:sz w:val="24"/>
          <w:szCs w:val="24"/>
        </w:rPr>
        <w:t>Поддержка социально ориентированных некоммерческих организаций</w:t>
      </w:r>
      <w:r>
        <w:rPr>
          <w:b/>
          <w:i/>
          <w:sz w:val="24"/>
          <w:szCs w:val="24"/>
        </w:rPr>
        <w:t>»</w:t>
      </w:r>
    </w:p>
    <w:p w:rsidR="00273157" w:rsidRDefault="00273157" w:rsidP="0027315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>
        <w:rPr>
          <w:rFonts w:eastAsiaTheme="minorHAnsi"/>
          <w:sz w:val="24"/>
          <w:szCs w:val="24"/>
          <w:lang w:val="en-US" w:eastAsia="en-US"/>
        </w:rPr>
        <w:t>II</w:t>
      </w:r>
      <w:r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 </w:t>
      </w:r>
      <w:r w:rsidR="00123BCC">
        <w:rPr>
          <w:rFonts w:eastAsiaTheme="minorHAnsi"/>
          <w:sz w:val="24"/>
          <w:szCs w:val="24"/>
          <w:lang w:eastAsia="en-US"/>
        </w:rPr>
        <w:t>612,1</w:t>
      </w:r>
      <w:r>
        <w:rPr>
          <w:rFonts w:eastAsiaTheme="minorHAnsi"/>
          <w:sz w:val="24"/>
          <w:szCs w:val="24"/>
          <w:lang w:eastAsia="en-US"/>
        </w:rPr>
        <w:t xml:space="preserve"> тыс. рублей, в том числе из бюджета автономного округа  </w:t>
      </w:r>
      <w:r w:rsidR="00123BCC">
        <w:rPr>
          <w:rFonts w:eastAsiaTheme="minorHAnsi"/>
          <w:sz w:val="24"/>
          <w:szCs w:val="24"/>
          <w:lang w:eastAsia="en-US"/>
        </w:rPr>
        <w:t>408</w:t>
      </w:r>
      <w:r>
        <w:rPr>
          <w:rFonts w:eastAsiaTheme="minorHAnsi"/>
          <w:sz w:val="24"/>
          <w:szCs w:val="24"/>
          <w:lang w:eastAsia="en-US"/>
        </w:rPr>
        <w:t xml:space="preserve">,0  тыс. рублей, из местного бюджета – </w:t>
      </w:r>
      <w:r w:rsidR="004C2743">
        <w:rPr>
          <w:rFonts w:eastAsiaTheme="minorHAnsi"/>
          <w:sz w:val="24"/>
          <w:szCs w:val="24"/>
          <w:lang w:eastAsia="en-US"/>
        </w:rPr>
        <w:t>20</w:t>
      </w:r>
      <w:r w:rsidR="00123BCC">
        <w:rPr>
          <w:rFonts w:eastAsiaTheme="minorHAnsi"/>
          <w:sz w:val="24"/>
          <w:szCs w:val="24"/>
          <w:lang w:eastAsia="en-US"/>
        </w:rPr>
        <w:t>4</w:t>
      </w:r>
      <w:r w:rsidR="004C2743">
        <w:rPr>
          <w:rFonts w:eastAsiaTheme="minorHAnsi"/>
          <w:sz w:val="24"/>
          <w:szCs w:val="24"/>
          <w:lang w:eastAsia="en-US"/>
        </w:rPr>
        <w:t>,1</w:t>
      </w:r>
      <w:r>
        <w:rPr>
          <w:rFonts w:eastAsiaTheme="minorHAnsi"/>
          <w:sz w:val="24"/>
          <w:szCs w:val="24"/>
          <w:lang w:eastAsia="en-US"/>
        </w:rPr>
        <w:t xml:space="preserve"> тыс. рублей. Финансовые средства израсходованы в </w:t>
      </w:r>
      <w:r w:rsidR="004C2743">
        <w:rPr>
          <w:rFonts w:eastAsiaTheme="minorHAnsi"/>
          <w:sz w:val="24"/>
          <w:szCs w:val="24"/>
          <w:lang w:eastAsia="en-US"/>
        </w:rPr>
        <w:t xml:space="preserve">сумме </w:t>
      </w:r>
      <w:r w:rsidR="00123BCC">
        <w:rPr>
          <w:rFonts w:eastAsiaTheme="minorHAnsi"/>
          <w:sz w:val="24"/>
          <w:szCs w:val="24"/>
          <w:lang w:eastAsia="en-US"/>
        </w:rPr>
        <w:t>612,1</w:t>
      </w:r>
      <w:r w:rsidR="004C2743">
        <w:rPr>
          <w:rFonts w:eastAsiaTheme="minorHAnsi"/>
          <w:sz w:val="24"/>
          <w:szCs w:val="24"/>
          <w:lang w:eastAsia="en-US"/>
        </w:rPr>
        <w:t xml:space="preserve"> тысяч рублей, в том числе из бюджета автономного округа </w:t>
      </w:r>
      <w:r w:rsidR="00123BCC">
        <w:rPr>
          <w:rFonts w:eastAsiaTheme="minorHAnsi"/>
          <w:sz w:val="24"/>
          <w:szCs w:val="24"/>
          <w:lang w:eastAsia="en-US"/>
        </w:rPr>
        <w:t>408</w:t>
      </w:r>
      <w:r w:rsidR="004C2743">
        <w:rPr>
          <w:rFonts w:eastAsiaTheme="minorHAnsi"/>
          <w:sz w:val="24"/>
          <w:szCs w:val="24"/>
          <w:lang w:eastAsia="en-US"/>
        </w:rPr>
        <w:t>,0 тысяч рублей, из местного бюджета – 2</w:t>
      </w:r>
      <w:r w:rsidR="00123BCC">
        <w:rPr>
          <w:rFonts w:eastAsiaTheme="minorHAnsi"/>
          <w:sz w:val="24"/>
          <w:szCs w:val="24"/>
          <w:lang w:eastAsia="en-US"/>
        </w:rPr>
        <w:t>04</w:t>
      </w:r>
      <w:r w:rsidR="004C2743">
        <w:rPr>
          <w:rFonts w:eastAsiaTheme="minorHAnsi"/>
          <w:sz w:val="24"/>
          <w:szCs w:val="24"/>
          <w:lang w:eastAsia="en-US"/>
        </w:rPr>
        <w:t>,1 тысяч рублей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73157" w:rsidRDefault="00273157" w:rsidP="00273157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ходе реализации подпрограммы исполнены следующие мероприятия:</w:t>
      </w:r>
    </w:p>
    <w:p w:rsidR="00123BCC" w:rsidRDefault="00273157" w:rsidP="00273157">
      <w:pPr>
        <w:jc w:val="both"/>
        <w:rPr>
          <w:i/>
          <w:color w:val="000000"/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</w:t>
      </w:r>
      <w:r w:rsidRPr="00647DF7">
        <w:rPr>
          <w:i/>
          <w:sz w:val="24"/>
          <w:szCs w:val="24"/>
        </w:rPr>
        <w:t>1. «</w:t>
      </w:r>
      <w:r>
        <w:rPr>
          <w:i/>
          <w:sz w:val="24"/>
          <w:szCs w:val="24"/>
        </w:rPr>
        <w:t>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</w:t>
      </w:r>
      <w:r w:rsidR="004C2743">
        <w:rPr>
          <w:i/>
          <w:color w:val="000000"/>
          <w:sz w:val="24"/>
          <w:szCs w:val="24"/>
        </w:rPr>
        <w:t>»</w:t>
      </w:r>
      <w:r w:rsidR="00123BCC">
        <w:rPr>
          <w:i/>
          <w:color w:val="000000"/>
          <w:sz w:val="24"/>
          <w:szCs w:val="24"/>
        </w:rPr>
        <w:t>.</w:t>
      </w:r>
    </w:p>
    <w:p w:rsidR="00123BCC" w:rsidRDefault="00123BCC" w:rsidP="00123BCC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исполнение указанного мероприятия в 2021 году были направлены средства бюджета города Югорска в размере 200 тыс. рублей. </w:t>
      </w:r>
      <w:r w:rsidRPr="00123BCC">
        <w:rPr>
          <w:rFonts w:eastAsiaTheme="minorHAnsi"/>
          <w:sz w:val="24"/>
          <w:szCs w:val="24"/>
          <w:lang w:eastAsia="en-US"/>
        </w:rPr>
        <w:t xml:space="preserve">В соответствии с порядком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проектов проведен конкурсный отбор. По итогам конкурсного отбора заключено соглашение с автономной некоммерческой организацией социального обслуживания населения </w:t>
      </w:r>
      <w:r>
        <w:rPr>
          <w:rFonts w:eastAsiaTheme="minorHAnsi"/>
          <w:sz w:val="24"/>
          <w:szCs w:val="24"/>
          <w:lang w:eastAsia="en-US"/>
        </w:rPr>
        <w:t xml:space="preserve">«Верь в </w:t>
      </w:r>
      <w:r w:rsidRPr="00123BCC">
        <w:rPr>
          <w:rFonts w:eastAsiaTheme="minorHAnsi"/>
          <w:sz w:val="24"/>
          <w:szCs w:val="24"/>
          <w:lang w:eastAsia="en-US"/>
        </w:rPr>
        <w:t>себя!</w:t>
      </w:r>
      <w:r>
        <w:rPr>
          <w:rFonts w:eastAsiaTheme="minorHAnsi"/>
          <w:sz w:val="24"/>
          <w:szCs w:val="24"/>
          <w:lang w:eastAsia="en-US"/>
        </w:rPr>
        <w:t>»</w:t>
      </w:r>
      <w:r w:rsidRPr="00123BCC">
        <w:rPr>
          <w:rFonts w:eastAsiaTheme="minorHAnsi"/>
          <w:sz w:val="24"/>
          <w:szCs w:val="24"/>
          <w:lang w:eastAsia="en-US"/>
        </w:rPr>
        <w:t xml:space="preserve"> на предоставление субсидии в размере 200,0 тыс</w:t>
      </w:r>
      <w:r w:rsidR="005D6EA6">
        <w:rPr>
          <w:rFonts w:eastAsiaTheme="minorHAnsi"/>
          <w:sz w:val="24"/>
          <w:szCs w:val="24"/>
          <w:lang w:eastAsia="en-US"/>
        </w:rPr>
        <w:t>.</w:t>
      </w:r>
      <w:r w:rsidRPr="00123BCC">
        <w:rPr>
          <w:rFonts w:eastAsiaTheme="minorHAnsi"/>
          <w:sz w:val="24"/>
          <w:szCs w:val="24"/>
          <w:lang w:eastAsia="en-US"/>
        </w:rPr>
        <w:t xml:space="preserve"> рублей на реализацию проекта </w:t>
      </w:r>
      <w:r>
        <w:rPr>
          <w:rFonts w:eastAsiaTheme="minorHAnsi"/>
          <w:sz w:val="24"/>
          <w:szCs w:val="24"/>
          <w:lang w:eastAsia="en-US"/>
        </w:rPr>
        <w:t>«</w:t>
      </w:r>
      <w:r w:rsidRPr="00123BCC">
        <w:rPr>
          <w:rFonts w:eastAsiaTheme="minorHAnsi"/>
          <w:sz w:val="24"/>
          <w:szCs w:val="24"/>
          <w:lang w:eastAsia="en-US"/>
        </w:rPr>
        <w:t xml:space="preserve">Ресурсный центр </w:t>
      </w:r>
      <w:r>
        <w:rPr>
          <w:rFonts w:eastAsiaTheme="minorHAnsi"/>
          <w:sz w:val="24"/>
          <w:szCs w:val="24"/>
          <w:lang w:eastAsia="en-US"/>
        </w:rPr>
        <w:t>«</w:t>
      </w:r>
      <w:r w:rsidRPr="00123BCC">
        <w:rPr>
          <w:rFonts w:eastAsiaTheme="minorHAnsi"/>
          <w:sz w:val="24"/>
          <w:szCs w:val="24"/>
          <w:lang w:eastAsia="en-US"/>
        </w:rPr>
        <w:t>ДОМ НКО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273157" w:rsidRDefault="00273157" w:rsidP="00273157">
      <w:pPr>
        <w:jc w:val="both"/>
        <w:rPr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2.2</w:t>
      </w:r>
      <w:r w:rsidRPr="00647DF7">
        <w:rPr>
          <w:i/>
          <w:sz w:val="24"/>
          <w:szCs w:val="24"/>
        </w:rPr>
        <w:t>. «</w:t>
      </w:r>
      <w:r>
        <w:rPr>
          <w:i/>
          <w:sz w:val="24"/>
          <w:szCs w:val="24"/>
        </w:rPr>
        <w:t>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самоуправления».</w:t>
      </w:r>
    </w:p>
    <w:p w:rsidR="003E254B" w:rsidRDefault="003123C1" w:rsidP="00DB161C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исполнение указанного мероприятия в 20</w:t>
      </w:r>
      <w:r w:rsidR="00EC3B61">
        <w:rPr>
          <w:rFonts w:eastAsiaTheme="minorHAnsi"/>
          <w:sz w:val="24"/>
          <w:szCs w:val="24"/>
          <w:lang w:eastAsia="en-US"/>
        </w:rPr>
        <w:t>20</w:t>
      </w:r>
      <w:r>
        <w:rPr>
          <w:rFonts w:eastAsiaTheme="minorHAnsi"/>
          <w:sz w:val="24"/>
          <w:szCs w:val="24"/>
          <w:lang w:eastAsia="en-US"/>
        </w:rPr>
        <w:t xml:space="preserve"> году был</w:t>
      </w:r>
      <w:r w:rsidR="00123BCC"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sz w:val="24"/>
          <w:szCs w:val="24"/>
          <w:lang w:eastAsia="en-US"/>
        </w:rPr>
        <w:t xml:space="preserve"> направлен</w:t>
      </w:r>
      <w:r w:rsidR="00123BCC">
        <w:rPr>
          <w:rFonts w:eastAsiaTheme="minorHAnsi"/>
          <w:sz w:val="24"/>
          <w:szCs w:val="24"/>
          <w:lang w:eastAsia="en-US"/>
        </w:rPr>
        <w:t>ы средства бюджета города Югорска в размере 4,1 тыс. рублей и с</w:t>
      </w:r>
      <w:r>
        <w:rPr>
          <w:rFonts w:eastAsiaTheme="minorHAnsi"/>
          <w:sz w:val="24"/>
          <w:szCs w:val="24"/>
          <w:lang w:eastAsia="en-US"/>
        </w:rPr>
        <w:t xml:space="preserve">убсидия из бюджета автономного округа в сумме </w:t>
      </w:r>
      <w:r w:rsidR="00123BCC">
        <w:rPr>
          <w:rFonts w:eastAsiaTheme="minorHAnsi"/>
          <w:sz w:val="24"/>
          <w:szCs w:val="24"/>
          <w:lang w:eastAsia="en-US"/>
        </w:rPr>
        <w:t>408</w:t>
      </w:r>
      <w:r>
        <w:rPr>
          <w:rFonts w:eastAsiaTheme="minorHAnsi"/>
          <w:sz w:val="24"/>
          <w:szCs w:val="24"/>
          <w:lang w:eastAsia="en-US"/>
        </w:rPr>
        <w:t xml:space="preserve"> тыс. рублей. Субсидия предоставлена по итогам конкурсного отбора среди муниципальных образований</w:t>
      </w:r>
      <w:r w:rsidR="00EC3B61"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– Югры</w:t>
      </w:r>
      <w:r>
        <w:rPr>
          <w:rFonts w:eastAsiaTheme="minorHAnsi"/>
          <w:sz w:val="24"/>
          <w:szCs w:val="24"/>
          <w:lang w:eastAsia="en-US"/>
        </w:rPr>
        <w:t xml:space="preserve">, представивших заявку. Субсидия предоставлена на условиях софинансирования: средства бюджета автономного округа – 99%, средства местного бюджета – 1%, что составило </w:t>
      </w:r>
      <w:r w:rsidR="00123BCC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,1 тыс. рублей. В </w:t>
      </w:r>
      <w:r w:rsidR="00CD5106">
        <w:rPr>
          <w:rFonts w:eastAsiaTheme="minorHAnsi"/>
          <w:sz w:val="24"/>
          <w:szCs w:val="24"/>
          <w:lang w:eastAsia="en-US"/>
        </w:rPr>
        <w:t>соответствии</w:t>
      </w:r>
      <w:r>
        <w:rPr>
          <w:rFonts w:eastAsiaTheme="minorHAnsi"/>
          <w:sz w:val="24"/>
          <w:szCs w:val="24"/>
          <w:lang w:eastAsia="en-US"/>
        </w:rPr>
        <w:t xml:space="preserve"> с порядком расходования субсидии денежные средства направлены</w:t>
      </w:r>
      <w:r w:rsidR="00123BCC">
        <w:rPr>
          <w:rFonts w:eastAsiaTheme="minorHAnsi"/>
          <w:sz w:val="24"/>
          <w:szCs w:val="24"/>
          <w:lang w:eastAsia="en-US"/>
        </w:rPr>
        <w:t xml:space="preserve"> </w:t>
      </w:r>
      <w:r w:rsidR="00CD5106">
        <w:rPr>
          <w:rFonts w:eastAsiaTheme="minorHAnsi"/>
          <w:sz w:val="24"/>
          <w:szCs w:val="24"/>
          <w:lang w:eastAsia="en-US"/>
        </w:rPr>
        <w:t>на пр</w:t>
      </w:r>
      <w:r w:rsidR="00EC3B61">
        <w:rPr>
          <w:rFonts w:eastAsiaTheme="minorHAnsi"/>
          <w:sz w:val="24"/>
          <w:szCs w:val="24"/>
          <w:lang w:eastAsia="en-US"/>
        </w:rPr>
        <w:t xml:space="preserve">едоставление субсидии </w:t>
      </w:r>
      <w:r w:rsidR="003E254B">
        <w:rPr>
          <w:rFonts w:eastAsiaTheme="minorHAnsi"/>
          <w:sz w:val="24"/>
          <w:szCs w:val="24"/>
          <w:lang w:eastAsia="en-US"/>
        </w:rPr>
        <w:t xml:space="preserve">Местной общественной организации </w:t>
      </w:r>
      <w:r w:rsidR="00EC3B61">
        <w:rPr>
          <w:rFonts w:eastAsiaTheme="minorHAnsi"/>
          <w:sz w:val="24"/>
          <w:szCs w:val="24"/>
          <w:lang w:eastAsia="en-US"/>
        </w:rPr>
        <w:t xml:space="preserve">территориального общественного самоуправления </w:t>
      </w:r>
      <w:r w:rsidR="003E254B">
        <w:rPr>
          <w:rFonts w:eastAsiaTheme="minorHAnsi"/>
          <w:sz w:val="24"/>
          <w:szCs w:val="24"/>
          <w:lang w:eastAsia="en-US"/>
        </w:rPr>
        <w:t xml:space="preserve">«Снегири» </w:t>
      </w:r>
      <w:r w:rsidR="00EC3B61">
        <w:rPr>
          <w:rFonts w:eastAsiaTheme="minorHAnsi"/>
          <w:sz w:val="24"/>
          <w:szCs w:val="24"/>
          <w:lang w:eastAsia="en-US"/>
        </w:rPr>
        <w:t>для реализации проект</w:t>
      </w:r>
      <w:r w:rsidR="003E254B">
        <w:rPr>
          <w:rFonts w:eastAsiaTheme="minorHAnsi"/>
          <w:sz w:val="24"/>
          <w:szCs w:val="24"/>
          <w:lang w:eastAsia="en-US"/>
        </w:rPr>
        <w:t>а</w:t>
      </w:r>
      <w:r w:rsidR="00EC3B61">
        <w:rPr>
          <w:rFonts w:eastAsiaTheme="minorHAnsi"/>
          <w:sz w:val="24"/>
          <w:szCs w:val="24"/>
          <w:lang w:eastAsia="en-US"/>
        </w:rPr>
        <w:t xml:space="preserve"> </w:t>
      </w:r>
      <w:r w:rsidR="003E254B" w:rsidRPr="003E254B">
        <w:rPr>
          <w:rFonts w:eastAsiaTheme="minorHAnsi"/>
          <w:sz w:val="24"/>
          <w:szCs w:val="24"/>
          <w:lang w:eastAsia="en-US"/>
        </w:rPr>
        <w:t>«</w:t>
      </w:r>
      <w:r w:rsidR="00123BCC">
        <w:rPr>
          <w:rFonts w:eastAsiaTheme="minorHAnsi"/>
          <w:sz w:val="24"/>
          <w:szCs w:val="24"/>
          <w:lang w:eastAsia="en-US"/>
        </w:rPr>
        <w:t xml:space="preserve">Разработка комплексного проекта благоустройства микрорайона «Снегири» </w:t>
      </w:r>
      <w:r w:rsidR="00CD5106">
        <w:rPr>
          <w:rFonts w:eastAsiaTheme="minorHAnsi"/>
          <w:sz w:val="24"/>
          <w:szCs w:val="24"/>
          <w:lang w:eastAsia="en-US"/>
        </w:rPr>
        <w:t xml:space="preserve">на сумму </w:t>
      </w:r>
      <w:r w:rsidR="00EC3B61" w:rsidRPr="00EC3B61">
        <w:rPr>
          <w:rFonts w:eastAsiaTheme="minorHAnsi"/>
          <w:sz w:val="24"/>
          <w:szCs w:val="24"/>
          <w:lang w:eastAsia="en-US"/>
        </w:rPr>
        <w:t>4</w:t>
      </w:r>
      <w:r w:rsidR="00123BCC">
        <w:rPr>
          <w:rFonts w:eastAsiaTheme="minorHAnsi"/>
          <w:sz w:val="24"/>
          <w:szCs w:val="24"/>
          <w:lang w:eastAsia="en-US"/>
        </w:rPr>
        <w:t>12</w:t>
      </w:r>
      <w:r w:rsidR="00EC3B61" w:rsidRPr="00EC3B61">
        <w:rPr>
          <w:rFonts w:eastAsiaTheme="minorHAnsi"/>
          <w:sz w:val="24"/>
          <w:szCs w:val="24"/>
          <w:lang w:eastAsia="en-US"/>
        </w:rPr>
        <w:t xml:space="preserve"> 12</w:t>
      </w:r>
      <w:r w:rsidR="00123BCC">
        <w:rPr>
          <w:rFonts w:eastAsiaTheme="minorHAnsi"/>
          <w:sz w:val="24"/>
          <w:szCs w:val="24"/>
          <w:lang w:eastAsia="en-US"/>
        </w:rPr>
        <w:t>1</w:t>
      </w:r>
      <w:r w:rsidR="00EC3B61" w:rsidRPr="00EC3B61">
        <w:rPr>
          <w:rFonts w:eastAsiaTheme="minorHAnsi"/>
          <w:sz w:val="24"/>
          <w:szCs w:val="24"/>
          <w:lang w:eastAsia="en-US"/>
        </w:rPr>
        <w:t>,</w:t>
      </w:r>
      <w:r w:rsidR="00123BCC">
        <w:rPr>
          <w:rFonts w:eastAsiaTheme="minorHAnsi"/>
          <w:sz w:val="24"/>
          <w:szCs w:val="24"/>
          <w:lang w:eastAsia="en-US"/>
        </w:rPr>
        <w:t>12</w:t>
      </w:r>
      <w:r w:rsidR="00EC3B61" w:rsidRPr="00EC3B61">
        <w:rPr>
          <w:rFonts w:eastAsiaTheme="minorHAnsi"/>
          <w:sz w:val="24"/>
          <w:szCs w:val="24"/>
          <w:lang w:eastAsia="en-US"/>
        </w:rPr>
        <w:t xml:space="preserve"> рублей</w:t>
      </w:r>
      <w:r w:rsidR="00CD5106">
        <w:rPr>
          <w:rFonts w:eastAsiaTheme="minorHAnsi"/>
          <w:sz w:val="24"/>
          <w:szCs w:val="24"/>
          <w:lang w:eastAsia="en-US"/>
        </w:rPr>
        <w:t>.</w:t>
      </w:r>
      <w:r w:rsidR="00123BCC">
        <w:rPr>
          <w:rFonts w:eastAsiaTheme="minorHAnsi"/>
          <w:sz w:val="24"/>
          <w:szCs w:val="24"/>
          <w:lang w:eastAsia="en-US"/>
        </w:rPr>
        <w:t xml:space="preserve"> 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Предоставление субсидии организовано в соответствии с постановлением администрации города Югорска от </w:t>
      </w:r>
      <w:r w:rsidR="003E254B" w:rsidRP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29.10.2020 № 1598 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«Об утверждении </w:t>
      </w:r>
      <w:r w:rsidR="003E254B" w:rsidRPr="003E254B">
        <w:rPr>
          <w:rFonts w:eastAsiaTheme="minorHAnsi"/>
          <w:color w:val="000000" w:themeColor="text1"/>
          <w:sz w:val="24"/>
          <w:szCs w:val="24"/>
          <w:lang w:eastAsia="en-US"/>
        </w:rPr>
        <w:t>Порядк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>а</w:t>
      </w:r>
      <w:r w:rsidR="003E254B" w:rsidRPr="003E254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</w:t>
      </w:r>
      <w:r w:rsidR="003E254B">
        <w:rPr>
          <w:rFonts w:eastAsiaTheme="minorHAnsi"/>
          <w:color w:val="000000" w:themeColor="text1"/>
          <w:sz w:val="24"/>
          <w:szCs w:val="24"/>
          <w:lang w:eastAsia="en-US"/>
        </w:rPr>
        <w:t>».</w:t>
      </w:r>
    </w:p>
    <w:p w:rsidR="00123BCC" w:rsidRDefault="00E817AD" w:rsidP="00DB161C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В 202</w:t>
      </w:r>
      <w:r w:rsidR="00123BCC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году</w:t>
      </w:r>
      <w:r w:rsidR="00123BCC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продолжена практика применения форм участия населения в местном самоуправлении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 xml:space="preserve">, предусмотренных 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>Федеральны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м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закон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ом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06.10.2003 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№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 xml:space="preserve"> 131-ФЗ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 xml:space="preserve"> «</w:t>
      </w:r>
      <w:r w:rsidR="009B21B5" w:rsidRPr="00012179">
        <w:rPr>
          <w:rFonts w:eastAsiaTheme="minorHAnsi"/>
          <w:color w:val="000000" w:themeColor="text1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9B21B5">
        <w:rPr>
          <w:rFonts w:eastAsiaTheme="minorHAnsi"/>
          <w:color w:val="000000" w:themeColor="text1"/>
          <w:sz w:val="24"/>
          <w:szCs w:val="24"/>
          <w:lang w:eastAsia="en-US"/>
        </w:rPr>
        <w:t>».</w:t>
      </w:r>
      <w:r w:rsidR="00123BCC">
        <w:rPr>
          <w:rFonts w:eastAsiaTheme="minorHAnsi"/>
          <w:color w:val="000000" w:themeColor="text1"/>
          <w:sz w:val="24"/>
          <w:szCs w:val="24"/>
          <w:lang w:eastAsia="en-US"/>
        </w:rPr>
        <w:t xml:space="preserve"> Кроме того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="00123BCC">
        <w:rPr>
          <w:rFonts w:eastAsiaTheme="minorHAnsi"/>
          <w:color w:val="000000" w:themeColor="text1"/>
          <w:sz w:val="24"/>
          <w:szCs w:val="24"/>
          <w:lang w:eastAsia="en-US"/>
        </w:rPr>
        <w:t>успешно освоена новая практика – реализованы 2 инициативных проекта.</w:t>
      </w:r>
    </w:p>
    <w:p w:rsidR="009B21B5" w:rsidRDefault="003E254B" w:rsidP="00E817AD">
      <w:pPr>
        <w:ind w:firstLine="709"/>
        <w:jc w:val="both"/>
        <w:rPr>
          <w:i/>
          <w:sz w:val="24"/>
          <w:szCs w:val="24"/>
        </w:rPr>
      </w:pPr>
      <w:r w:rsidRPr="00647DF7">
        <w:rPr>
          <w:i/>
          <w:sz w:val="24"/>
          <w:szCs w:val="24"/>
        </w:rPr>
        <w:t xml:space="preserve">Мероприятие </w:t>
      </w:r>
      <w:r>
        <w:rPr>
          <w:i/>
          <w:sz w:val="24"/>
          <w:szCs w:val="24"/>
        </w:rPr>
        <w:t>2.3</w:t>
      </w:r>
      <w:r w:rsidRPr="00647DF7">
        <w:rPr>
          <w:i/>
          <w:sz w:val="24"/>
          <w:szCs w:val="24"/>
        </w:rPr>
        <w:t>. «</w:t>
      </w:r>
      <w:r w:rsidRPr="003E254B">
        <w:rPr>
          <w:i/>
          <w:sz w:val="24"/>
          <w:szCs w:val="24"/>
        </w:rPr>
        <w:t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</w:t>
      </w:r>
      <w:r>
        <w:rPr>
          <w:i/>
          <w:sz w:val="24"/>
          <w:szCs w:val="24"/>
        </w:rPr>
        <w:t>»</w:t>
      </w:r>
      <w:r w:rsidR="009B21B5">
        <w:rPr>
          <w:i/>
          <w:sz w:val="24"/>
          <w:szCs w:val="24"/>
        </w:rPr>
        <w:t>. В 2021 году мероприятие не реализовывалось.</w:t>
      </w:r>
    </w:p>
    <w:p w:rsidR="00DF7E71" w:rsidRDefault="00DF7E71" w:rsidP="00DF7E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позволила достичь следующих значений показателей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1"/>
        <w:gridCol w:w="1219"/>
        <w:gridCol w:w="1621"/>
        <w:gridCol w:w="1442"/>
        <w:gridCol w:w="1438"/>
      </w:tblGrid>
      <w:tr w:rsidR="000918BE" w:rsidRPr="000918BE" w:rsidTr="000918BE">
        <w:tc>
          <w:tcPr>
            <w:tcW w:w="3851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19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21" w:type="dxa"/>
          </w:tcPr>
          <w:p w:rsidR="000918BE" w:rsidRPr="000918BE" w:rsidRDefault="000918BE" w:rsidP="00C133A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Плановое значение показателя в отчетном периоде</w:t>
            </w:r>
          </w:p>
        </w:tc>
        <w:tc>
          <w:tcPr>
            <w:tcW w:w="1442" w:type="dxa"/>
          </w:tcPr>
          <w:p w:rsidR="000918BE" w:rsidRPr="000918BE" w:rsidRDefault="000918BE" w:rsidP="00C133A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Фактическое значение показателя в отчетном периоде</w:t>
            </w:r>
          </w:p>
        </w:tc>
        <w:tc>
          <w:tcPr>
            <w:tcW w:w="1438" w:type="dxa"/>
          </w:tcPr>
          <w:p w:rsidR="000918BE" w:rsidRPr="000918BE" w:rsidRDefault="000918BE" w:rsidP="00520A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Степень достижения</w:t>
            </w:r>
          </w:p>
        </w:tc>
      </w:tr>
      <w:tr w:rsidR="000918BE" w:rsidRPr="000918BE" w:rsidTr="000918BE">
        <w:tc>
          <w:tcPr>
            <w:tcW w:w="3851" w:type="dxa"/>
            <w:vAlign w:val="center"/>
          </w:tcPr>
          <w:p w:rsidR="000918BE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Количество социально-значимых </w:t>
            </w:r>
            <w:r w:rsidRPr="000918BE">
              <w:rPr>
                <w:sz w:val="22"/>
                <w:szCs w:val="22"/>
              </w:rPr>
              <w:lastRenderedPageBreak/>
              <w:t>проектов, реализуемых некоммерческими организациями и получивших финансовую поддержку из местного бюджета.</w:t>
            </w:r>
          </w:p>
        </w:tc>
        <w:tc>
          <w:tcPr>
            <w:tcW w:w="1219" w:type="dxa"/>
            <w:vAlign w:val="center"/>
          </w:tcPr>
          <w:p w:rsidR="000918BE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1621" w:type="dxa"/>
            <w:vAlign w:val="center"/>
          </w:tcPr>
          <w:p w:rsidR="000918BE" w:rsidRDefault="000918BE" w:rsidP="00091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менее 2</w:t>
            </w:r>
          </w:p>
        </w:tc>
        <w:tc>
          <w:tcPr>
            <w:tcW w:w="1442" w:type="dxa"/>
            <w:vAlign w:val="center"/>
          </w:tcPr>
          <w:p w:rsidR="000918BE" w:rsidRDefault="009B21B5" w:rsidP="00091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38" w:type="dxa"/>
            <w:vAlign w:val="center"/>
          </w:tcPr>
          <w:p w:rsidR="000918BE" w:rsidRPr="000918BE" w:rsidRDefault="009B21B5" w:rsidP="009B2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918BE">
              <w:rPr>
                <w:sz w:val="22"/>
                <w:szCs w:val="22"/>
              </w:rPr>
              <w:t>0%</w:t>
            </w:r>
          </w:p>
        </w:tc>
      </w:tr>
      <w:tr w:rsidR="000846F7" w:rsidRPr="000918BE" w:rsidTr="000918BE">
        <w:tc>
          <w:tcPr>
            <w:tcW w:w="3851" w:type="dxa"/>
            <w:vAlign w:val="center"/>
          </w:tcPr>
          <w:p w:rsidR="00DF7E71" w:rsidRPr="000918BE" w:rsidRDefault="000918BE" w:rsidP="000918BE">
            <w:pPr>
              <w:jc w:val="center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lastRenderedPageBreak/>
              <w:t>Количество форм непосредственного осуществления местного самоуправления и участия населения  в осуществлении местного самоуправления в муниципальных образованиях и случаев их применения в городе Югорске.</w:t>
            </w:r>
          </w:p>
        </w:tc>
        <w:tc>
          <w:tcPr>
            <w:tcW w:w="1219" w:type="dxa"/>
            <w:vAlign w:val="center"/>
          </w:tcPr>
          <w:p w:rsidR="00DF7E71" w:rsidRPr="000918BE" w:rsidRDefault="000918BE" w:rsidP="000918B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8BE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621" w:type="dxa"/>
            <w:vAlign w:val="center"/>
          </w:tcPr>
          <w:p w:rsidR="00DF7E71" w:rsidRPr="000918BE" w:rsidRDefault="009B21B5" w:rsidP="00091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42" w:type="dxa"/>
            <w:vAlign w:val="center"/>
          </w:tcPr>
          <w:p w:rsidR="00DF7E71" w:rsidRPr="000918BE" w:rsidRDefault="009B21B5" w:rsidP="00791D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1D19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vAlign w:val="center"/>
          </w:tcPr>
          <w:p w:rsidR="00DF7E71" w:rsidRPr="000918BE" w:rsidRDefault="000918BE" w:rsidP="00880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21B5">
              <w:rPr>
                <w:sz w:val="22"/>
                <w:szCs w:val="22"/>
              </w:rPr>
              <w:t>1</w:t>
            </w:r>
            <w:r w:rsidR="00880565">
              <w:rPr>
                <w:sz w:val="22"/>
                <w:szCs w:val="22"/>
              </w:rPr>
              <w:t>5</w:t>
            </w:r>
            <w:r w:rsidR="009B21B5">
              <w:rPr>
                <w:sz w:val="22"/>
                <w:szCs w:val="22"/>
              </w:rPr>
              <w:t>,</w:t>
            </w:r>
            <w:r w:rsidR="0088056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</w:tr>
    </w:tbl>
    <w:p w:rsidR="009B21B5" w:rsidRDefault="000918BE" w:rsidP="000918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Мероприятия подпрограммы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выполнены</w:t>
      </w:r>
      <w:r w:rsidR="009B21B5">
        <w:rPr>
          <w:sz w:val="24"/>
          <w:szCs w:val="24"/>
        </w:rPr>
        <w:t>.</w:t>
      </w:r>
    </w:p>
    <w:p w:rsidR="009B21B5" w:rsidRDefault="00595954" w:rsidP="000918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Фактические з</w:t>
      </w:r>
      <w:r w:rsidR="009B21B5">
        <w:rPr>
          <w:sz w:val="24"/>
          <w:szCs w:val="24"/>
        </w:rPr>
        <w:t xml:space="preserve">начения целевых показателей имеют отклонения </w:t>
      </w:r>
      <w:proofErr w:type="gramStart"/>
      <w:r w:rsidR="009B21B5">
        <w:rPr>
          <w:sz w:val="24"/>
          <w:szCs w:val="24"/>
        </w:rPr>
        <w:t>от</w:t>
      </w:r>
      <w:proofErr w:type="gramEnd"/>
      <w:r w:rsidR="009B21B5">
        <w:rPr>
          <w:sz w:val="24"/>
          <w:szCs w:val="24"/>
        </w:rPr>
        <w:t xml:space="preserve"> плановых.</w:t>
      </w:r>
    </w:p>
    <w:p w:rsidR="009B21B5" w:rsidRPr="009B21B5" w:rsidRDefault="009B21B5" w:rsidP="000918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Фактическ</w:t>
      </w:r>
      <w:r w:rsidR="00595954">
        <w:rPr>
          <w:sz w:val="24"/>
          <w:szCs w:val="24"/>
        </w:rPr>
        <w:t>о</w:t>
      </w:r>
      <w:r>
        <w:rPr>
          <w:sz w:val="24"/>
          <w:szCs w:val="24"/>
        </w:rPr>
        <w:t>е значени</w:t>
      </w:r>
      <w:r w:rsidR="00595954">
        <w:rPr>
          <w:sz w:val="24"/>
          <w:szCs w:val="24"/>
        </w:rPr>
        <w:t>е</w:t>
      </w:r>
      <w:r>
        <w:rPr>
          <w:sz w:val="24"/>
          <w:szCs w:val="24"/>
        </w:rPr>
        <w:t xml:space="preserve"> показателя «</w:t>
      </w:r>
      <w:r w:rsidRPr="009B21B5">
        <w:rPr>
          <w:sz w:val="24"/>
          <w:szCs w:val="24"/>
        </w:rPr>
        <w:t>Количество социально-значимых проектов, реализуемых некоммерческими организациями и получивших финансовую поддержку из местного бюджета» исполнено на 50%</w:t>
      </w:r>
      <w:r w:rsidR="00595954">
        <w:rPr>
          <w:sz w:val="24"/>
          <w:szCs w:val="24"/>
        </w:rPr>
        <w:t xml:space="preserve">. Плановое значение показателя – предоставление финансовой поддержки на реализацию 2 проектов. </w:t>
      </w:r>
      <w:r w:rsidR="00595954" w:rsidRPr="009B21B5">
        <w:rPr>
          <w:sz w:val="24"/>
          <w:szCs w:val="24"/>
        </w:rPr>
        <w:t xml:space="preserve">Решением конкурсной комиссии </w:t>
      </w:r>
      <w:r w:rsidR="00595954">
        <w:rPr>
          <w:sz w:val="24"/>
          <w:szCs w:val="24"/>
        </w:rPr>
        <w:t>фактически финансовую поддержку из бюджета города Югорска получил 1 проект</w:t>
      </w:r>
      <w:r w:rsidRPr="009B21B5">
        <w:rPr>
          <w:sz w:val="24"/>
          <w:szCs w:val="24"/>
        </w:rPr>
        <w:t>.</w:t>
      </w:r>
    </w:p>
    <w:p w:rsidR="000918BE" w:rsidRDefault="009B21B5" w:rsidP="000918BE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B21B5">
        <w:rPr>
          <w:sz w:val="24"/>
          <w:szCs w:val="24"/>
        </w:rPr>
        <w:t>Фактическое значение показателя «Количество форм непосредственного осуществления местного самоуправления и участия населения  в осуществлении местного самоуправления в муниципальных образованиях и случаев их применения в городе Югорске» перевыполнен на 1</w:t>
      </w:r>
      <w:r w:rsidR="00361E29">
        <w:rPr>
          <w:sz w:val="24"/>
          <w:szCs w:val="24"/>
        </w:rPr>
        <w:t>5</w:t>
      </w:r>
      <w:r w:rsidRPr="009B21B5">
        <w:rPr>
          <w:sz w:val="24"/>
          <w:szCs w:val="24"/>
        </w:rPr>
        <w:t>,</w:t>
      </w:r>
      <w:r w:rsidR="00361E29">
        <w:rPr>
          <w:sz w:val="24"/>
          <w:szCs w:val="24"/>
        </w:rPr>
        <w:t>8</w:t>
      </w:r>
      <w:r w:rsidRPr="009B21B5">
        <w:rPr>
          <w:sz w:val="24"/>
          <w:szCs w:val="24"/>
        </w:rPr>
        <w:t xml:space="preserve">%. </w:t>
      </w:r>
      <w:r w:rsidR="00361E29" w:rsidRPr="00361E29">
        <w:rPr>
          <w:sz w:val="24"/>
          <w:szCs w:val="24"/>
        </w:rPr>
        <w:t xml:space="preserve">Перевыполнение планового значения обусловлено отсутствием в 2021 году возможности прогноза применения форм </w:t>
      </w:r>
      <w:r w:rsidR="00361E29">
        <w:rPr>
          <w:sz w:val="24"/>
          <w:szCs w:val="24"/>
        </w:rPr>
        <w:t>«</w:t>
      </w:r>
      <w:r w:rsidR="00361E29" w:rsidRPr="00361E29">
        <w:rPr>
          <w:sz w:val="24"/>
          <w:szCs w:val="24"/>
        </w:rPr>
        <w:t>публичные слушания, общественные обсуждения</w:t>
      </w:r>
      <w:r w:rsidR="00361E29">
        <w:rPr>
          <w:sz w:val="24"/>
          <w:szCs w:val="24"/>
        </w:rPr>
        <w:t>»</w:t>
      </w:r>
      <w:r w:rsidR="00361E29" w:rsidRPr="00361E29">
        <w:rPr>
          <w:sz w:val="24"/>
          <w:szCs w:val="24"/>
        </w:rPr>
        <w:t xml:space="preserve"> вследствие необходимости исполнения требований по недопущению распространения новой </w:t>
      </w:r>
      <w:proofErr w:type="spellStart"/>
      <w:r w:rsidR="00361E29" w:rsidRPr="00361E29">
        <w:rPr>
          <w:sz w:val="24"/>
          <w:szCs w:val="24"/>
        </w:rPr>
        <w:t>короновирусной</w:t>
      </w:r>
      <w:proofErr w:type="spellEnd"/>
      <w:r w:rsidR="00361E29" w:rsidRPr="00361E29">
        <w:rPr>
          <w:sz w:val="24"/>
          <w:szCs w:val="24"/>
        </w:rPr>
        <w:t xml:space="preserve"> инфекции и </w:t>
      </w:r>
      <w:r w:rsidR="00361E29">
        <w:rPr>
          <w:sz w:val="24"/>
          <w:szCs w:val="24"/>
        </w:rPr>
        <w:t xml:space="preserve">отсутствия </w:t>
      </w:r>
      <w:r w:rsidR="00361E29" w:rsidRPr="00361E29">
        <w:rPr>
          <w:sz w:val="24"/>
          <w:szCs w:val="24"/>
        </w:rPr>
        <w:t>возможности прогноза по</w:t>
      </w:r>
      <w:proofErr w:type="gramEnd"/>
      <w:r w:rsidR="00361E29" w:rsidRPr="00361E29">
        <w:rPr>
          <w:sz w:val="24"/>
          <w:szCs w:val="24"/>
        </w:rPr>
        <w:t xml:space="preserve"> исполнению нов</w:t>
      </w:r>
      <w:r w:rsidR="00361E29">
        <w:rPr>
          <w:sz w:val="24"/>
          <w:szCs w:val="24"/>
        </w:rPr>
        <w:t>ой</w:t>
      </w:r>
      <w:r w:rsidR="00361E29" w:rsidRPr="00361E29">
        <w:rPr>
          <w:sz w:val="24"/>
          <w:szCs w:val="24"/>
        </w:rPr>
        <w:t xml:space="preserve"> форм</w:t>
      </w:r>
      <w:r w:rsidR="00361E29">
        <w:rPr>
          <w:sz w:val="24"/>
          <w:szCs w:val="24"/>
        </w:rPr>
        <w:t>ы</w:t>
      </w:r>
      <w:r w:rsidR="00361E29" w:rsidRPr="00361E29">
        <w:rPr>
          <w:sz w:val="24"/>
          <w:szCs w:val="24"/>
        </w:rPr>
        <w:t xml:space="preserve"> </w:t>
      </w:r>
      <w:r w:rsidR="00361E29">
        <w:rPr>
          <w:sz w:val="24"/>
          <w:szCs w:val="24"/>
        </w:rPr>
        <w:t>«</w:t>
      </w:r>
      <w:r w:rsidR="00361E29" w:rsidRPr="00361E29">
        <w:rPr>
          <w:sz w:val="24"/>
          <w:szCs w:val="24"/>
        </w:rPr>
        <w:t>инициативный проект</w:t>
      </w:r>
      <w:r w:rsidR="00361E29">
        <w:rPr>
          <w:sz w:val="24"/>
          <w:szCs w:val="24"/>
        </w:rPr>
        <w:t>»</w:t>
      </w:r>
      <w:r w:rsidR="00880565">
        <w:rPr>
          <w:sz w:val="24"/>
          <w:szCs w:val="24"/>
        </w:rPr>
        <w:t>.</w:t>
      </w:r>
    </w:p>
    <w:p w:rsidR="000918BE" w:rsidRDefault="000918BE" w:rsidP="00273157">
      <w:pPr>
        <w:jc w:val="both"/>
        <w:rPr>
          <w:sz w:val="24"/>
          <w:szCs w:val="24"/>
        </w:rPr>
      </w:pPr>
    </w:p>
    <w:p w:rsidR="00D2743B" w:rsidRPr="00B2671D" w:rsidRDefault="00D2743B" w:rsidP="00D2743B">
      <w:pPr>
        <w:ind w:firstLine="567"/>
        <w:jc w:val="both"/>
        <w:rPr>
          <w:b/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>Подпрограмма «</w:t>
      </w:r>
      <w:r w:rsidRPr="00D2743B">
        <w:rPr>
          <w:b/>
          <w:i/>
          <w:sz w:val="24"/>
          <w:szCs w:val="24"/>
        </w:rPr>
        <w:t>Укрепление межнационального</w:t>
      </w:r>
      <w:r>
        <w:rPr>
          <w:b/>
          <w:i/>
          <w:sz w:val="24"/>
          <w:szCs w:val="24"/>
        </w:rPr>
        <w:t xml:space="preserve">  </w:t>
      </w:r>
      <w:r w:rsidRPr="00D2743B">
        <w:rPr>
          <w:b/>
          <w:i/>
          <w:sz w:val="24"/>
          <w:szCs w:val="24"/>
        </w:rPr>
        <w:t>и межконфессионального согласия, поддержка культуры народов, проживающих на территории города Югорска, профилактика экстремизма</w:t>
      </w:r>
      <w:r w:rsidRPr="00D2743B">
        <w:rPr>
          <w:b/>
          <w:bCs/>
          <w:i/>
          <w:sz w:val="24"/>
          <w:szCs w:val="24"/>
        </w:rPr>
        <w:t>»</w:t>
      </w:r>
    </w:p>
    <w:p w:rsidR="00B2671D" w:rsidRPr="00B2671D" w:rsidRDefault="00B2671D" w:rsidP="00B2671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2671D">
        <w:rPr>
          <w:rFonts w:eastAsiaTheme="minorHAnsi"/>
          <w:sz w:val="24"/>
          <w:szCs w:val="24"/>
          <w:lang w:eastAsia="en-US"/>
        </w:rPr>
        <w:t xml:space="preserve">На исполнение мероприятий </w:t>
      </w:r>
      <w:r w:rsidRPr="00B2671D">
        <w:rPr>
          <w:sz w:val="24"/>
          <w:szCs w:val="24"/>
          <w:lang w:val="en-US"/>
        </w:rPr>
        <w:t>I</w:t>
      </w:r>
      <w:r w:rsidRPr="00B2671D">
        <w:rPr>
          <w:sz w:val="24"/>
          <w:szCs w:val="24"/>
        </w:rPr>
        <w:t>I</w:t>
      </w:r>
      <w:r w:rsidRPr="00B2671D">
        <w:rPr>
          <w:sz w:val="24"/>
          <w:szCs w:val="24"/>
          <w:lang w:val="en-US"/>
        </w:rPr>
        <w:t>I</w:t>
      </w:r>
      <w:r w:rsidRPr="00B2671D"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программой запланировано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11679">
        <w:rPr>
          <w:rFonts w:eastAsiaTheme="minorHAnsi"/>
          <w:b/>
          <w:sz w:val="24"/>
          <w:szCs w:val="24"/>
          <w:lang w:eastAsia="en-US"/>
        </w:rPr>
        <w:t>2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00</w:t>
      </w:r>
      <w:r w:rsidRPr="00711679">
        <w:rPr>
          <w:rFonts w:eastAsiaTheme="minorHAnsi"/>
          <w:b/>
          <w:sz w:val="24"/>
          <w:szCs w:val="24"/>
          <w:lang w:eastAsia="en-US"/>
        </w:rPr>
        <w:t>,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0 тыс. рублей</w:t>
      </w:r>
      <w:r w:rsidR="00DF0CCE">
        <w:rPr>
          <w:rFonts w:eastAsiaTheme="minorHAnsi"/>
          <w:sz w:val="24"/>
          <w:szCs w:val="24"/>
          <w:lang w:eastAsia="en-US"/>
        </w:rPr>
        <w:t xml:space="preserve">, в том числе 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80</w:t>
      </w:r>
      <w:r w:rsidRPr="00711679">
        <w:rPr>
          <w:rFonts w:eastAsiaTheme="minorHAnsi"/>
          <w:b/>
          <w:sz w:val="24"/>
          <w:szCs w:val="24"/>
          <w:lang w:eastAsia="en-US"/>
        </w:rPr>
        <w:t>,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0</w:t>
      </w:r>
      <w:r w:rsidRPr="00711679">
        <w:rPr>
          <w:rFonts w:eastAsiaTheme="minorHAnsi"/>
          <w:b/>
          <w:sz w:val="24"/>
          <w:szCs w:val="24"/>
          <w:lang w:eastAsia="en-US"/>
        </w:rPr>
        <w:t xml:space="preserve"> тыс. рублей</w:t>
      </w:r>
      <w:r w:rsidRPr="00B2671D">
        <w:rPr>
          <w:rFonts w:eastAsiaTheme="minorHAnsi"/>
          <w:sz w:val="24"/>
          <w:szCs w:val="24"/>
          <w:lang w:eastAsia="en-US"/>
        </w:rPr>
        <w:t xml:space="preserve"> - за счет средств автономного округа, </w:t>
      </w:r>
      <w:r w:rsidRPr="00711679">
        <w:rPr>
          <w:rFonts w:eastAsiaTheme="minorHAnsi"/>
          <w:b/>
          <w:sz w:val="24"/>
          <w:szCs w:val="24"/>
          <w:lang w:eastAsia="en-US"/>
        </w:rPr>
        <w:t>1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2</w:t>
      </w:r>
      <w:r w:rsidRPr="00711679">
        <w:rPr>
          <w:rFonts w:eastAsiaTheme="minorHAnsi"/>
          <w:b/>
          <w:sz w:val="24"/>
          <w:szCs w:val="24"/>
          <w:lang w:eastAsia="en-US"/>
        </w:rPr>
        <w:t>0,</w:t>
      </w:r>
      <w:r w:rsidR="00DF0CCE" w:rsidRPr="00711679">
        <w:rPr>
          <w:rFonts w:eastAsiaTheme="minorHAnsi"/>
          <w:b/>
          <w:sz w:val="24"/>
          <w:szCs w:val="24"/>
          <w:lang w:eastAsia="en-US"/>
        </w:rPr>
        <w:t>0</w:t>
      </w:r>
      <w:r w:rsidRPr="00711679">
        <w:rPr>
          <w:rFonts w:eastAsiaTheme="minorHAnsi"/>
          <w:b/>
          <w:sz w:val="24"/>
          <w:szCs w:val="24"/>
          <w:lang w:eastAsia="en-US"/>
        </w:rPr>
        <w:t xml:space="preserve"> тыс. рублей</w:t>
      </w:r>
      <w:r w:rsidRPr="00B2671D">
        <w:rPr>
          <w:rFonts w:eastAsiaTheme="minorHAnsi"/>
          <w:sz w:val="24"/>
          <w:szCs w:val="24"/>
          <w:lang w:eastAsia="en-US"/>
        </w:rPr>
        <w:t xml:space="preserve"> – за счет средств бюджета г.Югорска.</w:t>
      </w:r>
    </w:p>
    <w:p w:rsidR="00B2671D" w:rsidRPr="00B2671D" w:rsidRDefault="00B2671D" w:rsidP="00B2671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2671D">
        <w:rPr>
          <w:rFonts w:eastAsiaTheme="minorHAnsi"/>
          <w:sz w:val="24"/>
          <w:szCs w:val="24"/>
          <w:lang w:eastAsia="en-US"/>
        </w:rPr>
        <w:t>Финансовые средства израсходованы в полном объеме.</w:t>
      </w:r>
    </w:p>
    <w:p w:rsidR="00761376" w:rsidRDefault="00761376" w:rsidP="00D2743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И</w:t>
      </w:r>
      <w:r w:rsidR="00D2743B">
        <w:rPr>
          <w:rFonts w:eastAsiaTheme="minorHAnsi"/>
          <w:sz w:val="24"/>
          <w:szCs w:val="24"/>
          <w:lang w:eastAsia="en-US"/>
        </w:rPr>
        <w:t xml:space="preserve">сполнение мероприятий </w:t>
      </w:r>
      <w:r w:rsidR="00D2743B">
        <w:rPr>
          <w:rFonts w:eastAsiaTheme="minorHAnsi"/>
          <w:sz w:val="24"/>
          <w:szCs w:val="24"/>
          <w:lang w:val="en-US" w:eastAsia="en-US"/>
        </w:rPr>
        <w:t>III</w:t>
      </w:r>
      <w:r w:rsidR="00D2743B">
        <w:rPr>
          <w:rFonts w:eastAsiaTheme="minorHAnsi"/>
          <w:sz w:val="24"/>
          <w:szCs w:val="24"/>
          <w:lang w:eastAsia="en-US"/>
        </w:rPr>
        <w:t xml:space="preserve"> подпрограммы муниципальной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="00D2743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осуществлялось в соответствии с </w:t>
      </w:r>
      <w:r w:rsidR="00D2743B" w:rsidRPr="00D2743B">
        <w:rPr>
          <w:rFonts w:eastAsiaTheme="minorHAnsi"/>
          <w:sz w:val="24"/>
          <w:szCs w:val="24"/>
          <w:lang w:eastAsia="en-US"/>
        </w:rPr>
        <w:t>Соглашени</w:t>
      </w:r>
      <w:r>
        <w:rPr>
          <w:rFonts w:eastAsiaTheme="minorHAnsi"/>
          <w:sz w:val="24"/>
          <w:szCs w:val="24"/>
          <w:lang w:eastAsia="en-US"/>
        </w:rPr>
        <w:t>ем</w:t>
      </w:r>
      <w:r w:rsidR="00D2743B" w:rsidRPr="00D2743B">
        <w:rPr>
          <w:rFonts w:eastAsiaTheme="minorHAnsi"/>
          <w:sz w:val="24"/>
          <w:szCs w:val="24"/>
          <w:lang w:eastAsia="en-US"/>
        </w:rPr>
        <w:t xml:space="preserve"> о предоставлении субсидии местному бюджету из бюджета Ханты-Мансийского автономного округа – Югры № </w:t>
      </w:r>
      <w:r w:rsidR="00FE752A">
        <w:rPr>
          <w:rFonts w:eastAsiaTheme="minorHAnsi"/>
          <w:sz w:val="24"/>
          <w:szCs w:val="24"/>
          <w:lang w:eastAsia="en-US"/>
        </w:rPr>
        <w:t>30-30</w:t>
      </w:r>
      <w:r w:rsidR="00D2743B" w:rsidRPr="00D2743B">
        <w:rPr>
          <w:rFonts w:eastAsiaTheme="minorHAnsi"/>
          <w:sz w:val="24"/>
          <w:szCs w:val="24"/>
          <w:lang w:eastAsia="en-US"/>
        </w:rPr>
        <w:t xml:space="preserve"> от </w:t>
      </w:r>
      <w:r w:rsidR="00DF0CCE">
        <w:rPr>
          <w:rFonts w:eastAsiaTheme="minorHAnsi"/>
          <w:sz w:val="24"/>
          <w:szCs w:val="24"/>
          <w:lang w:eastAsia="en-US"/>
        </w:rPr>
        <w:t>1</w:t>
      </w:r>
      <w:r w:rsidR="00FE752A">
        <w:rPr>
          <w:rFonts w:eastAsiaTheme="minorHAnsi"/>
          <w:sz w:val="24"/>
          <w:szCs w:val="24"/>
          <w:lang w:eastAsia="en-US"/>
        </w:rPr>
        <w:t>8</w:t>
      </w:r>
      <w:r w:rsidR="00D2743B" w:rsidRPr="00D2743B">
        <w:rPr>
          <w:rFonts w:eastAsiaTheme="minorHAnsi"/>
          <w:sz w:val="24"/>
          <w:szCs w:val="24"/>
          <w:lang w:eastAsia="en-US"/>
        </w:rPr>
        <w:t>.0</w:t>
      </w:r>
      <w:r w:rsidR="00DF0CCE">
        <w:rPr>
          <w:rFonts w:eastAsiaTheme="minorHAnsi"/>
          <w:sz w:val="24"/>
          <w:szCs w:val="24"/>
          <w:lang w:eastAsia="en-US"/>
        </w:rPr>
        <w:t>1</w:t>
      </w:r>
      <w:r w:rsidR="00D2743B" w:rsidRPr="00D2743B">
        <w:rPr>
          <w:rFonts w:eastAsiaTheme="minorHAnsi"/>
          <w:sz w:val="24"/>
          <w:szCs w:val="24"/>
          <w:lang w:eastAsia="en-US"/>
        </w:rPr>
        <w:t>.20</w:t>
      </w:r>
      <w:r w:rsidR="00DF0CCE">
        <w:rPr>
          <w:rFonts w:eastAsiaTheme="minorHAnsi"/>
          <w:sz w:val="24"/>
          <w:szCs w:val="24"/>
          <w:lang w:eastAsia="en-US"/>
        </w:rPr>
        <w:t>2</w:t>
      </w:r>
      <w:r w:rsidR="00FE752A">
        <w:rPr>
          <w:rFonts w:eastAsiaTheme="minorHAnsi"/>
          <w:sz w:val="24"/>
          <w:szCs w:val="24"/>
          <w:lang w:eastAsia="en-US"/>
        </w:rPr>
        <w:t>1</w:t>
      </w:r>
      <w:r w:rsidR="00D2743B" w:rsidRPr="00D2743B">
        <w:rPr>
          <w:rFonts w:eastAsiaTheme="minorHAnsi"/>
          <w:sz w:val="24"/>
          <w:szCs w:val="24"/>
          <w:lang w:eastAsia="en-US"/>
        </w:rPr>
        <w:t xml:space="preserve"> года </w:t>
      </w:r>
      <w:r>
        <w:rPr>
          <w:rFonts w:eastAsiaTheme="minorHAnsi"/>
          <w:sz w:val="24"/>
          <w:szCs w:val="24"/>
          <w:lang w:eastAsia="en-US"/>
        </w:rPr>
        <w:t xml:space="preserve">на </w:t>
      </w:r>
      <w:r w:rsidR="00D2743B" w:rsidRPr="00D2743B">
        <w:rPr>
          <w:rFonts w:eastAsiaTheme="minorHAnsi"/>
          <w:sz w:val="24"/>
          <w:szCs w:val="24"/>
          <w:lang w:eastAsia="en-US"/>
        </w:rPr>
        <w:t>реализаци</w:t>
      </w:r>
      <w:r>
        <w:rPr>
          <w:rFonts w:eastAsiaTheme="minorHAnsi"/>
          <w:sz w:val="24"/>
          <w:szCs w:val="24"/>
          <w:lang w:eastAsia="en-US"/>
        </w:rPr>
        <w:t>ю</w:t>
      </w:r>
      <w:r w:rsidR="00D2743B" w:rsidRPr="00D2743B">
        <w:rPr>
          <w:rFonts w:eastAsiaTheme="minorHAnsi"/>
          <w:sz w:val="24"/>
          <w:szCs w:val="24"/>
          <w:lang w:eastAsia="en-US"/>
        </w:rPr>
        <w:t xml:space="preserve"> мероприятия «Обеспечение условий </w:t>
      </w:r>
      <w:r w:rsidR="00D2743B">
        <w:rPr>
          <w:rFonts w:eastAsiaTheme="minorHAnsi"/>
          <w:sz w:val="24"/>
          <w:szCs w:val="24"/>
          <w:lang w:eastAsia="en-US"/>
        </w:rPr>
        <w:t xml:space="preserve">по </w:t>
      </w:r>
      <w:r w:rsidR="00D2743B" w:rsidRPr="00D2743B">
        <w:rPr>
          <w:rFonts w:eastAsiaTheme="minorHAnsi"/>
          <w:sz w:val="24"/>
          <w:szCs w:val="24"/>
          <w:lang w:eastAsia="en-US"/>
        </w:rPr>
        <w:t>реализации в муниципальных образованиях единой государственной политики в сфере межнациональных отношений и профилактики экстремизма» государственной программы Ханты-Мансийского автономного округа – Югры (далее – автономный округ) от 05.10.2018 № 349-п «О государственной</w:t>
      </w:r>
      <w:proofErr w:type="gramEnd"/>
      <w:r w:rsidR="00D2743B" w:rsidRPr="00D2743B">
        <w:rPr>
          <w:rFonts w:eastAsiaTheme="minorHAnsi"/>
          <w:sz w:val="24"/>
          <w:szCs w:val="24"/>
          <w:lang w:eastAsia="en-US"/>
        </w:rPr>
        <w:t xml:space="preserve"> программе Ханты-Мансийского автономного округа – Югры «Реализация государственной национальной политики и профилактика экстремизма» (далее-государственная программа)</w:t>
      </w:r>
      <w:r>
        <w:rPr>
          <w:rFonts w:eastAsiaTheme="minorHAnsi"/>
          <w:sz w:val="24"/>
          <w:szCs w:val="24"/>
          <w:lang w:eastAsia="en-US"/>
        </w:rPr>
        <w:t>.</w:t>
      </w:r>
      <w:r w:rsidRPr="0076137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соответствии с порядком </w:t>
      </w:r>
      <w:r w:rsidRPr="00761376">
        <w:rPr>
          <w:rFonts w:eastAsiaTheme="minorHAnsi"/>
          <w:sz w:val="24"/>
          <w:szCs w:val="24"/>
          <w:lang w:eastAsia="en-US"/>
        </w:rPr>
        <w:t xml:space="preserve">Субсидия предоставлена на условиях софинансирования: средства бюджета автономного округа – </w:t>
      </w:r>
      <w:r>
        <w:rPr>
          <w:rFonts w:eastAsiaTheme="minorHAnsi"/>
          <w:sz w:val="24"/>
          <w:szCs w:val="24"/>
          <w:lang w:eastAsia="en-US"/>
        </w:rPr>
        <w:t>39,99</w:t>
      </w:r>
      <w:r w:rsidRPr="00761376">
        <w:rPr>
          <w:rFonts w:eastAsiaTheme="minorHAnsi"/>
          <w:sz w:val="24"/>
          <w:szCs w:val="24"/>
          <w:lang w:eastAsia="en-US"/>
        </w:rPr>
        <w:t xml:space="preserve">%, средства местного бюджета – </w:t>
      </w:r>
      <w:r>
        <w:rPr>
          <w:rFonts w:eastAsiaTheme="minorHAnsi"/>
          <w:sz w:val="24"/>
          <w:szCs w:val="24"/>
          <w:lang w:eastAsia="en-US"/>
        </w:rPr>
        <w:t>60,01%</w:t>
      </w:r>
      <w:r w:rsidRPr="00761376">
        <w:rPr>
          <w:rFonts w:eastAsiaTheme="minorHAnsi"/>
          <w:sz w:val="24"/>
          <w:szCs w:val="24"/>
          <w:lang w:eastAsia="en-US"/>
        </w:rPr>
        <w:t>.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3.1 «Организация мероприятий по изучению культурного наследия народов России и мира в образовательных организациях города».</w:t>
      </w:r>
    </w:p>
    <w:p w:rsidR="00A22E6B" w:rsidRPr="00A22E6B" w:rsidRDefault="00A22E6B" w:rsidP="00A22E6B">
      <w:pPr>
        <w:suppressAutoHyphens w:val="0"/>
        <w:spacing w:line="276" w:lineRule="auto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Соисполнителем подпрограммы  – Управлением образования администрации города Югорска  проведен  городской интернет-конкурс «Культурное наследие народов России» среди воспитанников образовательных учреждений, реализующих программы дошкольного образования и обучающиеся общеобразовательных учреждений. Конкурс проводился в режиме онлайн  по следующим направлениям: </w:t>
      </w:r>
      <w:proofErr w:type="gram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«Видеоролик», где 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lastRenderedPageBreak/>
        <w:t>конкурсанты представляли снятые видеоролики с исполнением песен или танцев, прочтением народных стихов, сказок и «Рисунок», где конкурсанты представляли  рисунки, затрагивающие тему культурного наследия народов России и мира, в том числе природные объекты (животный и растительный мир), события, народные праздники, традиции, обычаи и обряды;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герои народных легенд, преданий, сказаний и т. п. (приказ </w:t>
      </w:r>
      <w:proofErr w:type="gram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Управления образования администрации города Югорска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от 06.09.2021  № 534 «О проведении городского интернет – конкурса «Культурное наследие народов России и мира»). Ф</w:t>
      </w:r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инансовые средства в размере 20,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0 </w:t>
      </w:r>
      <w:proofErr w:type="spellStart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тыс</w:t>
      </w:r>
      <w:proofErr w:type="gramStart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.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р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ублей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(в том числе  8,0 </w:t>
      </w:r>
      <w:proofErr w:type="spellStart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тыс.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рублей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из бюджета автономного округа) направлены на награждение 20 –и победителей и призеров подарочными сертификатами и дипломами Управления образования администрации города Югорска; также в каждой номинации присуждено по 1 дополнительному призу «Лучшая идея» независимо от возрастной группы. Такие участники получили дипломы и подарочные сертификаты.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3.2 «Развитие потенциала молодежи и его использование в интересах укрепления единства российской нации и профилактики экстремизма».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Соисполнителем подпрограммы – управлением социальной политики администрации города Югорска - на базе молодежного центра «Гелиос» организован фотоконкурс «Диалог культур» среди учащихся старших классов общеобразовательных организаций, студентов среднего профессионального образования и работающей молодежи (приказ управления социальной политики администрации города Югорска от 12.10.2020 № 79). Финансовые средства в размере 20,</w:t>
      </w:r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0 тыс. рублей (в том числе 8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,0</w:t>
      </w:r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тыс. 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рублей из бюджета автономного округа) направлены на вручение подарочных сертификатов победителям в номинациях «Лучший снимок» и «Портрет» (6 шт.), оформление дипломов (16 шт.) и рекламу мероприятия. 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3.3 «Организация мероприятий, направленных на укрепление межнационального мира и согласия, сохранение культуры проживающих в городе Югорске этносов».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Соисполнителем подпрограммы - управлением культуры администрации города Югорска – приобретены детские  сценические костюмы женские (4 шт.) и мужские (2 шт.) для участников ансамбля обско-угорских народных инструментов «</w:t>
      </w:r>
      <w:proofErr w:type="spell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Эрьин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</w:t>
      </w:r>
      <w:proofErr w:type="spell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сым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», организованного в Детской школе искусств; </w:t>
      </w:r>
      <w:proofErr w:type="gram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приобретено 6 кукол (высотой до 30 см. и 1 куклы (высотой до 20 см.) на общую сумму 75,0 тыс. рублей (в том числе 30,0 тыс. рублей за счет средств автономного округа).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Костюмы использованы для концертных выступлений участников ансамбля «</w:t>
      </w:r>
      <w:proofErr w:type="spell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Эрьин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</w:t>
      </w:r>
      <w:proofErr w:type="spell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сым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»; куклы экспонировались в течение года на выставке национального костюма в Музее истории и этнографии города Югорска. 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3.4 «Сохранение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патриотизма».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proofErr w:type="gram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Соисполнителем подпрограммы - управлением культуры администрации города Югорска - приобретены музыкальные инструменты (балалайка - 1 шт., бубен (тамбурин) - 5 шт.), и мужской - казачья форма Сибирского казачьего войска (1 комплект) для организации работы клубного формирования «Театр казачьей песни» и детского ансамбля казачьей песни  «Первоцвет», действующих на базе Центра культуры «Югра-презент» на общую сумму 50, 0 тыс. рублей (в том числе 20, 0 тыс. рублей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за счет средств автономного округа). Реквизит использован при проведении музыкально-игровой программы «Казачий элемент», посвященной Дню России, мастер-классов по знакомству с русскими народными инструментами. 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3.5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мигрантов».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lastRenderedPageBreak/>
        <w:t xml:space="preserve">Соисполнителем подпрограммы – управлением социальной политики администрации города Югорска - на базе Центра Югорского спорта организован Фестиваль Всероссийского физкультурно-спортивного комплекса «Готов к труду и обороне» среди команд национальных общественных организаций и национальных диаспор. В нем приняли участие 3 </w:t>
      </w:r>
      <w:proofErr w:type="gram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национально-культурных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объединения:  марийцы, русские и армяне. Финансовые средства в размере 2</w:t>
      </w:r>
      <w:r w:rsidR="00FE752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0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</w:t>
      </w:r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тыс</w:t>
      </w:r>
      <w:proofErr w:type="gramStart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.р</w:t>
      </w:r>
      <w:proofErr w:type="gramEnd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уб.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,0 рублей </w:t>
      </w:r>
      <w:r w:rsidR="00FE752A" w:rsidRPr="00FE752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(в том числе  </w:t>
      </w:r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8</w:t>
      </w:r>
      <w:r w:rsidR="00FE752A" w:rsidRPr="00FE752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,0 </w:t>
      </w:r>
      <w:proofErr w:type="spellStart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тыс.</w:t>
      </w:r>
      <w:r w:rsidR="00FE752A" w:rsidRPr="00FE752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рублей</w:t>
      </w:r>
      <w:proofErr w:type="spellEnd"/>
      <w:r w:rsidR="00FE752A" w:rsidRPr="00FE752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из бюджета автономного округа</w:t>
      </w:r>
      <w:r w:rsidR="00FE752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), 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направлены на приобретение наградной атрибутики: кубки и грамоты (</w:t>
      </w:r>
      <w:proofErr w:type="spell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плакеты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)   командам- победителям, для поощрения всех участников фестиваля, активных болельщиков закуплены сладкие призы.  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Мероприятие 3.6 «Организация просветительских мероприятий, информационное сопровождение  деятельности по реализации государственной национальной политики».</w:t>
      </w:r>
    </w:p>
    <w:p w:rsidR="00A22E6B" w:rsidRPr="00A22E6B" w:rsidRDefault="00A22E6B" w:rsidP="00A22E6B">
      <w:pPr>
        <w:suppressAutoHyphens w:val="0"/>
        <w:ind w:firstLine="567"/>
        <w:jc w:val="both"/>
        <w:rPr>
          <w:rFonts w:ascii="PT Astra Serif" w:eastAsiaTheme="minorHAnsi" w:hAnsi="PT Astra Serif"/>
          <w:bCs/>
          <w:sz w:val="24"/>
          <w:szCs w:val="24"/>
          <w:lang w:eastAsia="en-US" w:bidi="ru-RU"/>
        </w:rPr>
      </w:pP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Основным исполнителем подпрограммы – управлением внутренней политики и общественных связей администрации города Югорска – изготовлены видеоролики в количестве 3-х шт. (по  профилактике терроризма и экстремизма  в молодежной среде («Терроризм – это не игра»), по </w:t>
      </w:r>
      <w:proofErr w:type="spell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кибергигиене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 («А вы знаете, с кем ваши дети общаются в Интернете?») и по сохранению межнационального мира и согласия «Югорс</w:t>
      </w:r>
      <w:proofErr w:type="gram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к-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большая многонациональная семья») на общую сумму 15</w:t>
      </w:r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, 0 тыс. рублей (в том числе 6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,0</w:t>
      </w:r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</w:t>
      </w:r>
      <w:proofErr w:type="spellStart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тыс</w:t>
      </w:r>
      <w:proofErr w:type="gramStart"/>
      <w:r w:rsidR="002E21CA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.</w:t>
      </w:r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р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ублей</w:t>
      </w:r>
      <w:proofErr w:type="spell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из бюджета автономного округа). Видеоролики транслируются в эфире «Югорского ТВ» в рекламных блоках в ежедневном формате, размещены в разделе «Антитеррор» на </w:t>
      </w:r>
      <w:proofErr w:type="gramStart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>официальной</w:t>
      </w:r>
      <w:proofErr w:type="gramEnd"/>
      <w:r w:rsidRPr="00A22E6B">
        <w:rPr>
          <w:rFonts w:ascii="PT Astra Serif" w:eastAsiaTheme="minorHAnsi" w:hAnsi="PT Astra Serif"/>
          <w:bCs/>
          <w:sz w:val="24"/>
          <w:szCs w:val="24"/>
          <w:lang w:eastAsia="en-US" w:bidi="ru-RU"/>
        </w:rPr>
        <w:t xml:space="preserve"> сайте органов местного самоуправления города Югорска.</w:t>
      </w:r>
    </w:p>
    <w:p w:rsidR="00A22E6B" w:rsidRDefault="00A22E6B" w:rsidP="00D2743B">
      <w:pPr>
        <w:ind w:firstLine="567"/>
        <w:jc w:val="both"/>
        <w:rPr>
          <w:i/>
          <w:sz w:val="24"/>
          <w:szCs w:val="24"/>
        </w:rPr>
      </w:pPr>
    </w:p>
    <w:p w:rsidR="00D2743B" w:rsidRDefault="00D2743B" w:rsidP="00D274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позволила достичь следующих значений показателей муниципальной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1"/>
        <w:gridCol w:w="1219"/>
        <w:gridCol w:w="1621"/>
        <w:gridCol w:w="1442"/>
        <w:gridCol w:w="1438"/>
      </w:tblGrid>
      <w:tr w:rsidR="00D2743B" w:rsidRPr="000918BE" w:rsidTr="004E6369">
        <w:tc>
          <w:tcPr>
            <w:tcW w:w="3851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19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21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Плановое значение показателя в отчетном периоде</w:t>
            </w:r>
          </w:p>
        </w:tc>
        <w:tc>
          <w:tcPr>
            <w:tcW w:w="1442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Фактическое значение показателя в отчетном периоде</w:t>
            </w:r>
          </w:p>
        </w:tc>
        <w:tc>
          <w:tcPr>
            <w:tcW w:w="1438" w:type="dxa"/>
          </w:tcPr>
          <w:p w:rsidR="00D2743B" w:rsidRPr="000918BE" w:rsidRDefault="00D2743B" w:rsidP="004E6369">
            <w:pPr>
              <w:jc w:val="both"/>
              <w:rPr>
                <w:sz w:val="22"/>
                <w:szCs w:val="22"/>
              </w:rPr>
            </w:pPr>
            <w:r w:rsidRPr="000918BE">
              <w:rPr>
                <w:sz w:val="22"/>
                <w:szCs w:val="22"/>
              </w:rPr>
              <w:t>Степень достижения</w:t>
            </w:r>
          </w:p>
        </w:tc>
      </w:tr>
      <w:tr w:rsidR="00D2743B" w:rsidRPr="000918BE" w:rsidTr="004E6369">
        <w:tc>
          <w:tcPr>
            <w:tcW w:w="3851" w:type="dxa"/>
            <w:vAlign w:val="center"/>
          </w:tcPr>
          <w:p w:rsidR="00D2743B" w:rsidRPr="000918BE" w:rsidRDefault="00483225" w:rsidP="006567F9">
            <w:pPr>
              <w:jc w:val="both"/>
              <w:rPr>
                <w:sz w:val="22"/>
                <w:szCs w:val="22"/>
              </w:rPr>
            </w:pPr>
            <w:r w:rsidRPr="00483225">
              <w:rPr>
                <w:rFonts w:eastAsia="Calibri"/>
              </w:rPr>
              <w:t>Доля граждан, положительно оценивающих состояние межнациональных отношений в городе Югорске, в общем количестве граждан</w:t>
            </w:r>
            <w:r w:rsidRPr="000918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D2743B" w:rsidRPr="000918BE" w:rsidRDefault="00483225" w:rsidP="004E63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21" w:type="dxa"/>
            <w:vAlign w:val="center"/>
          </w:tcPr>
          <w:p w:rsidR="00D2743B" w:rsidRDefault="00483225" w:rsidP="00A22E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A22E6B">
              <w:t>2</w:t>
            </w:r>
          </w:p>
        </w:tc>
        <w:tc>
          <w:tcPr>
            <w:tcW w:w="1442" w:type="dxa"/>
            <w:vAlign w:val="center"/>
          </w:tcPr>
          <w:p w:rsidR="00D2743B" w:rsidRDefault="00A22E6B" w:rsidP="004E63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  <w:tc>
          <w:tcPr>
            <w:tcW w:w="1438" w:type="dxa"/>
            <w:vAlign w:val="center"/>
          </w:tcPr>
          <w:p w:rsidR="00D2743B" w:rsidRPr="000918BE" w:rsidRDefault="008C5C0B" w:rsidP="00A2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2E6B">
              <w:rPr>
                <w:sz w:val="22"/>
                <w:szCs w:val="22"/>
              </w:rPr>
              <w:t>43</w:t>
            </w:r>
          </w:p>
        </w:tc>
      </w:tr>
      <w:tr w:rsidR="00483225" w:rsidRPr="000918BE" w:rsidTr="004E6369">
        <w:tc>
          <w:tcPr>
            <w:tcW w:w="3851" w:type="dxa"/>
            <w:vAlign w:val="center"/>
          </w:tcPr>
          <w:p w:rsidR="00483225" w:rsidRDefault="00483225" w:rsidP="004E63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Численность участников мероприятий, направленных               на этнокультурное развитие народов России, проживающих на территории города Югорска.</w:t>
            </w:r>
          </w:p>
        </w:tc>
        <w:tc>
          <w:tcPr>
            <w:tcW w:w="1219" w:type="dxa"/>
            <w:vAlign w:val="center"/>
          </w:tcPr>
          <w:p w:rsidR="00483225" w:rsidRPr="000918BE" w:rsidRDefault="00483225" w:rsidP="004E636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621" w:type="dxa"/>
            <w:vAlign w:val="center"/>
          </w:tcPr>
          <w:p w:rsidR="00483225" w:rsidRPr="000918BE" w:rsidRDefault="00483225" w:rsidP="00A22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A22E6B"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vAlign w:val="center"/>
          </w:tcPr>
          <w:p w:rsidR="00483225" w:rsidRPr="00A22E6B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63406">
              <w:rPr>
                <w:sz w:val="22"/>
                <w:szCs w:val="22"/>
              </w:rPr>
              <w:t>1,</w:t>
            </w:r>
            <w:r w:rsidR="00563406" w:rsidRPr="00563406">
              <w:rPr>
                <w:sz w:val="22"/>
                <w:szCs w:val="22"/>
              </w:rPr>
              <w:t>5</w:t>
            </w:r>
          </w:p>
        </w:tc>
        <w:tc>
          <w:tcPr>
            <w:tcW w:w="1438" w:type="dxa"/>
            <w:vAlign w:val="center"/>
          </w:tcPr>
          <w:p w:rsidR="00483225" w:rsidRPr="00A22E6B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63406">
              <w:rPr>
                <w:sz w:val="22"/>
                <w:szCs w:val="22"/>
              </w:rPr>
              <w:t>1</w:t>
            </w:r>
            <w:r w:rsidR="00563406" w:rsidRPr="00563406">
              <w:rPr>
                <w:sz w:val="22"/>
                <w:szCs w:val="22"/>
              </w:rPr>
              <w:t>1</w:t>
            </w:r>
            <w:r w:rsidR="008C5C0B" w:rsidRPr="00563406">
              <w:rPr>
                <w:sz w:val="22"/>
                <w:szCs w:val="22"/>
              </w:rPr>
              <w:t>5</w:t>
            </w:r>
          </w:p>
        </w:tc>
      </w:tr>
      <w:tr w:rsidR="00483225" w:rsidRPr="000918BE" w:rsidTr="004E6369">
        <w:tc>
          <w:tcPr>
            <w:tcW w:w="3851" w:type="dxa"/>
            <w:vAlign w:val="center"/>
          </w:tcPr>
          <w:p w:rsidR="00483225" w:rsidRDefault="00483225" w:rsidP="004E6369">
            <w:pPr>
              <w:tabs>
                <w:tab w:val="left" w:pos="709"/>
              </w:tabs>
              <w:jc w:val="both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Количество участников мероприятий, направленных                   на укрепление общероссийского гражданского единства.</w:t>
            </w:r>
          </w:p>
        </w:tc>
        <w:tc>
          <w:tcPr>
            <w:tcW w:w="1219" w:type="dxa"/>
            <w:vAlign w:val="center"/>
          </w:tcPr>
          <w:p w:rsidR="00483225" w:rsidRPr="000918BE" w:rsidRDefault="00483225" w:rsidP="004E636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621" w:type="dxa"/>
            <w:vAlign w:val="center"/>
          </w:tcPr>
          <w:p w:rsidR="00483225" w:rsidRDefault="00483225" w:rsidP="008C5C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A22E6B"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  <w:vAlign w:val="center"/>
          </w:tcPr>
          <w:p w:rsidR="00483225" w:rsidRPr="00A22E6B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63406">
              <w:rPr>
                <w:sz w:val="22"/>
                <w:szCs w:val="22"/>
              </w:rPr>
              <w:t>2,</w:t>
            </w:r>
            <w:r w:rsidR="00563406" w:rsidRPr="00563406">
              <w:rPr>
                <w:sz w:val="22"/>
                <w:szCs w:val="22"/>
              </w:rPr>
              <w:t>9</w:t>
            </w:r>
          </w:p>
        </w:tc>
        <w:tc>
          <w:tcPr>
            <w:tcW w:w="1438" w:type="dxa"/>
            <w:vAlign w:val="center"/>
          </w:tcPr>
          <w:p w:rsidR="00483225" w:rsidRPr="00A22E6B" w:rsidRDefault="00483225" w:rsidP="00563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63406">
              <w:rPr>
                <w:sz w:val="22"/>
                <w:szCs w:val="22"/>
              </w:rPr>
              <w:t>1</w:t>
            </w:r>
            <w:r w:rsidR="00563406" w:rsidRPr="00563406">
              <w:rPr>
                <w:sz w:val="22"/>
                <w:szCs w:val="22"/>
              </w:rPr>
              <w:t>16</w:t>
            </w:r>
          </w:p>
        </w:tc>
      </w:tr>
    </w:tbl>
    <w:p w:rsidR="005D6EA6" w:rsidRDefault="00D2743B" w:rsidP="00D2743B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Мероприятия подпрограммы </w:t>
      </w:r>
      <w:r>
        <w:rPr>
          <w:sz w:val="24"/>
          <w:szCs w:val="24"/>
          <w:lang w:val="en-US"/>
        </w:rPr>
        <w:t>I</w:t>
      </w:r>
      <w:r w:rsidR="0049773F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выполнены в полном объеме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:rsidR="005D6EA6" w:rsidRPr="005D6EA6" w:rsidRDefault="005D6EA6" w:rsidP="005D6EA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D6EA6">
        <w:rPr>
          <w:rFonts w:eastAsiaTheme="minorHAnsi"/>
          <w:sz w:val="24"/>
          <w:szCs w:val="24"/>
          <w:lang w:eastAsia="en-US"/>
        </w:rPr>
        <w:t xml:space="preserve">Значения целевых показателей имеют отклонения </w:t>
      </w:r>
      <w:proofErr w:type="gramStart"/>
      <w:r w:rsidRPr="005D6EA6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5D6EA6">
        <w:rPr>
          <w:rFonts w:eastAsiaTheme="minorHAnsi"/>
          <w:sz w:val="24"/>
          <w:szCs w:val="24"/>
          <w:lang w:eastAsia="en-US"/>
        </w:rPr>
        <w:t xml:space="preserve"> плановых.</w:t>
      </w:r>
    </w:p>
    <w:p w:rsidR="005D6EA6" w:rsidRPr="005D6EA6" w:rsidRDefault="005D6EA6" w:rsidP="005D6EA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D6EA6">
        <w:rPr>
          <w:rFonts w:eastAsiaTheme="minorHAnsi"/>
          <w:sz w:val="24"/>
          <w:szCs w:val="24"/>
          <w:lang w:eastAsia="en-US"/>
        </w:rPr>
        <w:t>Фактическое значение показателя «</w:t>
      </w:r>
      <w:r w:rsidR="006567F9" w:rsidRPr="006567F9">
        <w:rPr>
          <w:rFonts w:eastAsiaTheme="minorHAnsi"/>
          <w:sz w:val="24"/>
          <w:szCs w:val="24"/>
          <w:lang w:eastAsia="en-US"/>
        </w:rPr>
        <w:t>Доля граждан, положительно оценивающих состояние межнациональных отношений в городе Югорске, в общем количестве граждан</w:t>
      </w:r>
      <w:r w:rsidRPr="005D6EA6">
        <w:rPr>
          <w:rFonts w:eastAsiaTheme="minorHAnsi"/>
          <w:sz w:val="24"/>
          <w:szCs w:val="24"/>
          <w:lang w:eastAsia="en-US"/>
        </w:rPr>
        <w:t xml:space="preserve">» исполнено на </w:t>
      </w:r>
      <w:r w:rsidR="006567F9">
        <w:rPr>
          <w:rFonts w:eastAsiaTheme="minorHAnsi"/>
          <w:sz w:val="24"/>
          <w:szCs w:val="24"/>
          <w:lang w:eastAsia="en-US"/>
        </w:rPr>
        <w:t>143</w:t>
      </w:r>
      <w:r w:rsidRPr="005D6EA6">
        <w:rPr>
          <w:rFonts w:eastAsiaTheme="minorHAnsi"/>
          <w:sz w:val="24"/>
          <w:szCs w:val="24"/>
          <w:lang w:eastAsia="en-US"/>
        </w:rPr>
        <w:t xml:space="preserve">%. </w:t>
      </w:r>
      <w:r w:rsidR="006567F9" w:rsidRPr="006567F9">
        <w:rPr>
          <w:rFonts w:eastAsiaTheme="minorHAnsi"/>
          <w:sz w:val="24"/>
          <w:szCs w:val="24"/>
          <w:lang w:eastAsia="en-US"/>
        </w:rPr>
        <w:t xml:space="preserve">В Югорске </w:t>
      </w:r>
      <w:r w:rsidR="00377003">
        <w:rPr>
          <w:rFonts w:eastAsiaTheme="minorHAnsi"/>
          <w:sz w:val="24"/>
          <w:szCs w:val="24"/>
          <w:lang w:eastAsia="en-US"/>
        </w:rPr>
        <w:t xml:space="preserve">на протяжении ряда лет </w:t>
      </w:r>
      <w:r w:rsidR="006567F9" w:rsidRPr="006567F9">
        <w:rPr>
          <w:rFonts w:eastAsiaTheme="minorHAnsi"/>
          <w:sz w:val="24"/>
          <w:szCs w:val="24"/>
          <w:lang w:eastAsia="en-US"/>
        </w:rPr>
        <w:t>отмечается стабильная ситуация в сфере межнациональных отношений</w:t>
      </w:r>
      <w:r w:rsidR="00377003">
        <w:rPr>
          <w:rFonts w:eastAsiaTheme="minorHAnsi"/>
          <w:sz w:val="24"/>
          <w:szCs w:val="24"/>
          <w:lang w:eastAsia="en-US"/>
        </w:rPr>
        <w:t>, отсутствует напряженность на межнациональной почве.</w:t>
      </w:r>
    </w:p>
    <w:p w:rsidR="00D2743B" w:rsidRDefault="005D6EA6" w:rsidP="005D6EA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D6EA6">
        <w:rPr>
          <w:rFonts w:eastAsiaTheme="minorHAnsi"/>
          <w:sz w:val="24"/>
          <w:szCs w:val="24"/>
          <w:lang w:eastAsia="en-US"/>
        </w:rPr>
        <w:t>Фактическое значение показателя «</w:t>
      </w:r>
      <w:r w:rsidR="006567F9" w:rsidRPr="006567F9">
        <w:rPr>
          <w:rFonts w:eastAsiaTheme="minorHAnsi"/>
          <w:sz w:val="24"/>
          <w:szCs w:val="24"/>
          <w:lang w:eastAsia="en-US"/>
        </w:rPr>
        <w:t>Численность участников мероприятий, направленных   на этнокультурное развитие народов России, проживающ</w:t>
      </w:r>
      <w:r w:rsidR="006567F9">
        <w:rPr>
          <w:rFonts w:eastAsiaTheme="minorHAnsi"/>
          <w:sz w:val="24"/>
          <w:szCs w:val="24"/>
          <w:lang w:eastAsia="en-US"/>
        </w:rPr>
        <w:t xml:space="preserve">их на территории города Югорска» исполнено на 115 %. </w:t>
      </w:r>
      <w:r w:rsidR="006567F9" w:rsidRPr="006567F9">
        <w:rPr>
          <w:rFonts w:eastAsiaTheme="minorHAnsi"/>
          <w:sz w:val="24"/>
          <w:szCs w:val="24"/>
          <w:lang w:eastAsia="en-US"/>
        </w:rPr>
        <w:t>В связи с проведением мероприятий в режиме онлайн обесп</w:t>
      </w:r>
      <w:r w:rsidR="006567F9">
        <w:rPr>
          <w:rFonts w:eastAsiaTheme="minorHAnsi"/>
          <w:sz w:val="24"/>
          <w:szCs w:val="24"/>
          <w:lang w:eastAsia="en-US"/>
        </w:rPr>
        <w:t>е</w:t>
      </w:r>
      <w:r w:rsidR="006567F9" w:rsidRPr="006567F9">
        <w:rPr>
          <w:rFonts w:eastAsiaTheme="minorHAnsi"/>
          <w:sz w:val="24"/>
          <w:szCs w:val="24"/>
          <w:lang w:eastAsia="en-US"/>
        </w:rPr>
        <w:t>чено привлечение большего количества участников</w:t>
      </w:r>
      <w:r w:rsidR="006567F9">
        <w:rPr>
          <w:rFonts w:eastAsiaTheme="minorHAnsi"/>
          <w:sz w:val="24"/>
          <w:szCs w:val="24"/>
          <w:lang w:eastAsia="en-US"/>
        </w:rPr>
        <w:t>.</w:t>
      </w:r>
    </w:p>
    <w:p w:rsidR="00D2743B" w:rsidRPr="00377003" w:rsidRDefault="006567F9" w:rsidP="00377003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D6EA6">
        <w:rPr>
          <w:rFonts w:eastAsiaTheme="minorHAnsi"/>
          <w:sz w:val="24"/>
          <w:szCs w:val="24"/>
          <w:lang w:eastAsia="en-US"/>
        </w:rPr>
        <w:t>Фактическое значение показателя «</w:t>
      </w:r>
      <w:r w:rsidRPr="006567F9">
        <w:rPr>
          <w:rFonts w:eastAsiaTheme="minorHAnsi"/>
          <w:sz w:val="24"/>
          <w:szCs w:val="24"/>
          <w:lang w:eastAsia="en-US"/>
        </w:rPr>
        <w:t>Количество участников м</w:t>
      </w:r>
      <w:r>
        <w:rPr>
          <w:rFonts w:eastAsiaTheme="minorHAnsi"/>
          <w:sz w:val="24"/>
          <w:szCs w:val="24"/>
          <w:lang w:eastAsia="en-US"/>
        </w:rPr>
        <w:t xml:space="preserve">ероприятий, направленных </w:t>
      </w:r>
      <w:r w:rsidRPr="006567F9">
        <w:rPr>
          <w:rFonts w:eastAsiaTheme="minorHAnsi"/>
          <w:sz w:val="24"/>
          <w:szCs w:val="24"/>
          <w:lang w:eastAsia="en-US"/>
        </w:rPr>
        <w:t>на укрепление общероссийского гражданского единства</w:t>
      </w:r>
      <w:r>
        <w:rPr>
          <w:rFonts w:eastAsiaTheme="minorHAnsi"/>
          <w:sz w:val="24"/>
          <w:szCs w:val="24"/>
          <w:lang w:eastAsia="en-US"/>
        </w:rPr>
        <w:t xml:space="preserve">» исполнено на 116 %. </w:t>
      </w:r>
      <w:r w:rsidRPr="006567F9">
        <w:rPr>
          <w:rFonts w:eastAsiaTheme="minorHAnsi"/>
          <w:sz w:val="24"/>
          <w:szCs w:val="24"/>
          <w:lang w:eastAsia="en-US"/>
        </w:rPr>
        <w:t xml:space="preserve">В связи с </w:t>
      </w:r>
      <w:r>
        <w:rPr>
          <w:rFonts w:eastAsiaTheme="minorHAnsi"/>
          <w:sz w:val="24"/>
          <w:szCs w:val="24"/>
          <w:lang w:eastAsia="en-US"/>
        </w:rPr>
        <w:t>применени</w:t>
      </w:r>
      <w:r w:rsidR="00377003">
        <w:rPr>
          <w:rFonts w:eastAsiaTheme="minorHAnsi"/>
          <w:sz w:val="24"/>
          <w:szCs w:val="24"/>
          <w:lang w:eastAsia="en-US"/>
        </w:rPr>
        <w:t>е</w:t>
      </w:r>
      <w:r>
        <w:rPr>
          <w:rFonts w:eastAsiaTheme="minorHAnsi"/>
          <w:sz w:val="24"/>
          <w:szCs w:val="24"/>
          <w:lang w:eastAsia="en-US"/>
        </w:rPr>
        <w:t>м онлайн</w:t>
      </w:r>
      <w:r w:rsidR="00377003">
        <w:rPr>
          <w:rFonts w:eastAsiaTheme="minorHAnsi"/>
          <w:sz w:val="24"/>
          <w:szCs w:val="24"/>
          <w:lang w:eastAsia="en-US"/>
        </w:rPr>
        <w:t xml:space="preserve"> формата при проведении мероприятий </w:t>
      </w:r>
      <w:r w:rsidRPr="006567F9">
        <w:rPr>
          <w:rFonts w:eastAsiaTheme="minorHAnsi"/>
          <w:sz w:val="24"/>
          <w:szCs w:val="24"/>
          <w:lang w:eastAsia="en-US"/>
        </w:rPr>
        <w:t>обесп</w:t>
      </w:r>
      <w:r>
        <w:rPr>
          <w:rFonts w:eastAsiaTheme="minorHAnsi"/>
          <w:sz w:val="24"/>
          <w:szCs w:val="24"/>
          <w:lang w:eastAsia="en-US"/>
        </w:rPr>
        <w:t>е</w:t>
      </w:r>
      <w:r w:rsidRPr="006567F9">
        <w:rPr>
          <w:rFonts w:eastAsiaTheme="minorHAnsi"/>
          <w:sz w:val="24"/>
          <w:szCs w:val="24"/>
          <w:lang w:eastAsia="en-US"/>
        </w:rPr>
        <w:t xml:space="preserve">чено </w:t>
      </w:r>
      <w:r w:rsidR="00377003">
        <w:rPr>
          <w:rFonts w:eastAsiaTheme="minorHAnsi"/>
          <w:sz w:val="24"/>
          <w:szCs w:val="24"/>
          <w:lang w:eastAsia="en-US"/>
        </w:rPr>
        <w:t>участие</w:t>
      </w:r>
      <w:r w:rsidRPr="006567F9">
        <w:rPr>
          <w:rFonts w:eastAsiaTheme="minorHAnsi"/>
          <w:sz w:val="24"/>
          <w:szCs w:val="24"/>
          <w:lang w:eastAsia="en-US"/>
        </w:rPr>
        <w:t xml:space="preserve"> большего количества участников</w:t>
      </w:r>
      <w:r w:rsidR="00377003">
        <w:rPr>
          <w:rFonts w:eastAsiaTheme="minorHAnsi"/>
          <w:sz w:val="24"/>
          <w:szCs w:val="24"/>
          <w:lang w:eastAsia="en-US"/>
        </w:rPr>
        <w:t>.</w:t>
      </w:r>
    </w:p>
    <w:p w:rsidR="0002403E" w:rsidRDefault="008C5C0B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В течение 202</w:t>
      </w:r>
      <w:r w:rsidR="00532FD9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3E0D9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года 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муниципальную программу </w:t>
      </w:r>
      <w:r w:rsidR="003E0D98" w:rsidRPr="00ED51E8">
        <w:rPr>
          <w:rFonts w:eastAsiaTheme="minorHAnsi"/>
          <w:color w:val="000000" w:themeColor="text1"/>
          <w:sz w:val="24"/>
          <w:szCs w:val="24"/>
          <w:lang w:eastAsia="en-US"/>
        </w:rPr>
        <w:t>внесен</w:t>
      </w:r>
      <w:r w:rsidR="0002403E" w:rsidRPr="00ED51E8">
        <w:rPr>
          <w:rFonts w:eastAsiaTheme="minorHAnsi"/>
          <w:color w:val="000000" w:themeColor="text1"/>
          <w:sz w:val="24"/>
          <w:szCs w:val="24"/>
          <w:lang w:eastAsia="en-US"/>
        </w:rPr>
        <w:t xml:space="preserve">о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4</w:t>
      </w:r>
      <w:r w:rsidR="003E0D9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корректировк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="0002403E">
        <w:rPr>
          <w:rFonts w:eastAsiaTheme="minorHAnsi"/>
          <w:color w:val="000000" w:themeColor="text1"/>
          <w:sz w:val="24"/>
          <w:szCs w:val="24"/>
          <w:lang w:eastAsia="en-US"/>
        </w:rPr>
        <w:t>:</w:t>
      </w:r>
    </w:p>
    <w:p w:rsidR="0049773F" w:rsidRDefault="007F5748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- постановлением администрации города Югорска от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22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.0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6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.202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1121-п</w:t>
      </w:r>
      <w:r w:rsid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уточнен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ы</w:t>
      </w:r>
      <w:r w:rsid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характеристика мероприятия 3.6 и </w:t>
      </w:r>
      <w:r w:rsid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формулировка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наименования раздела 3;</w:t>
      </w:r>
    </w:p>
    <w:p w:rsidR="00800654" w:rsidRPr="00A61416" w:rsidRDefault="0002403E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- </w:t>
      </w:r>
      <w:r w:rsidR="00800654" w:rsidRPr="00A61416">
        <w:rPr>
          <w:rFonts w:eastAsiaTheme="minorHAnsi"/>
          <w:color w:val="000000" w:themeColor="text1"/>
          <w:sz w:val="24"/>
          <w:szCs w:val="24"/>
          <w:lang w:eastAsia="en-US"/>
        </w:rPr>
        <w:t>постановлением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администрации города Югорска от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>4.</w:t>
      </w:r>
      <w:r w:rsidR="00A61416" w:rsidRPr="00A61416">
        <w:rPr>
          <w:rFonts w:eastAsiaTheme="minorHAnsi"/>
          <w:color w:val="000000" w:themeColor="text1"/>
          <w:sz w:val="24"/>
          <w:szCs w:val="24"/>
          <w:lang w:eastAsia="en-US"/>
        </w:rPr>
        <w:t>0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9</w:t>
      </w:r>
      <w:r w:rsidR="00ED51E8" w:rsidRPr="00A61416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>20</w:t>
      </w:r>
      <w:r w:rsidR="00ED51E8" w:rsidRPr="00A61416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1781-п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>муниципальн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ой программе</w:t>
      </w:r>
      <w:r w:rsidR="00ED3FD3" w:rsidRPr="00A6141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9773F" w:rsidRPr="0049773F">
        <w:rPr>
          <w:rFonts w:eastAsiaTheme="minorHAnsi"/>
          <w:color w:val="000000" w:themeColor="text1"/>
          <w:sz w:val="24"/>
          <w:szCs w:val="24"/>
          <w:lang w:eastAsia="en-US"/>
        </w:rPr>
        <w:t>уточнены параметры финансового обеспечения исполнения мероприятий программы на 202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49773F" w:rsidRPr="0049773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год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49773F" w:rsidRDefault="0049773F" w:rsidP="0049773F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- постановлением </w:t>
      </w:r>
      <w:r w:rsidRP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администрации города Югорска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от 15</w:t>
      </w:r>
      <w:r w:rsidRPr="00ED51E8">
        <w:rPr>
          <w:rFonts w:eastAsiaTheme="minorHAnsi"/>
          <w:color w:val="000000" w:themeColor="text1"/>
          <w:sz w:val="24"/>
          <w:szCs w:val="24"/>
          <w:lang w:eastAsia="en-US"/>
        </w:rPr>
        <w:t>.1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Pr="00ED51E8">
        <w:rPr>
          <w:rFonts w:eastAsiaTheme="minorHAnsi"/>
          <w:color w:val="000000" w:themeColor="text1"/>
          <w:sz w:val="24"/>
          <w:szCs w:val="24"/>
          <w:lang w:eastAsia="en-US"/>
        </w:rPr>
        <w:t>.202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Pr="00ED51E8"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2167-п в муниципальной программе уточнены параметры финансового обеспечения исполнения мероприятий программы, соответствующие параметрам бюджета города Югорска на 2022 год и на плановый период 2023 и 2024 годов;</w:t>
      </w:r>
    </w:p>
    <w:p w:rsidR="00102DEE" w:rsidRDefault="00800654" w:rsidP="003E0D98">
      <w:pPr>
        <w:ind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- постановлени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>е</w:t>
      </w:r>
      <w:r w:rsidR="00ED51E8">
        <w:rPr>
          <w:rFonts w:eastAsiaTheme="minorHAnsi"/>
          <w:color w:val="000000" w:themeColor="text1"/>
          <w:sz w:val="24"/>
          <w:szCs w:val="24"/>
          <w:lang w:eastAsia="en-US"/>
        </w:rPr>
        <w:t>м</w:t>
      </w:r>
      <w:r w:rsidR="00102DEE" w:rsidRP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администрации города Югорска от 2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0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>.12.202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№ 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2435-п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02DEE" w:rsidRPr="00102DEE">
        <w:rPr>
          <w:rFonts w:eastAsiaTheme="minorHAnsi"/>
          <w:color w:val="000000" w:themeColor="text1"/>
          <w:sz w:val="24"/>
          <w:szCs w:val="24"/>
          <w:lang w:eastAsia="en-US"/>
        </w:rPr>
        <w:t>в муниципальной программе уточнены параметры финансового обеспечения исполнения мероприятий программы</w:t>
      </w:r>
      <w:r w:rsidR="00102DEE">
        <w:rPr>
          <w:rFonts w:eastAsiaTheme="minorHAnsi"/>
          <w:color w:val="000000" w:themeColor="text1"/>
          <w:sz w:val="24"/>
          <w:szCs w:val="24"/>
          <w:lang w:eastAsia="en-US"/>
        </w:rPr>
        <w:t xml:space="preserve"> на 202</w:t>
      </w:r>
      <w:r w:rsidR="0049773F">
        <w:rPr>
          <w:rFonts w:eastAsiaTheme="minorHAnsi"/>
          <w:color w:val="000000" w:themeColor="text1"/>
          <w:sz w:val="24"/>
          <w:szCs w:val="24"/>
          <w:lang w:eastAsia="en-US"/>
        </w:rPr>
        <w:t>1 год.</w:t>
      </w:r>
    </w:p>
    <w:p w:rsidR="003B5791" w:rsidRDefault="003B5791">
      <w:pPr>
        <w:rPr>
          <w:sz w:val="24"/>
          <w:szCs w:val="24"/>
        </w:rPr>
      </w:pPr>
    </w:p>
    <w:p w:rsidR="00102DEE" w:rsidRDefault="00102DEE">
      <w:pPr>
        <w:rPr>
          <w:sz w:val="24"/>
          <w:szCs w:val="24"/>
        </w:rPr>
      </w:pPr>
    </w:p>
    <w:p w:rsidR="00102DEE" w:rsidRDefault="00102DEE">
      <w:pPr>
        <w:rPr>
          <w:sz w:val="24"/>
          <w:szCs w:val="24"/>
        </w:rPr>
      </w:pPr>
    </w:p>
    <w:p w:rsidR="00102DEE" w:rsidRDefault="00102DEE">
      <w:pPr>
        <w:rPr>
          <w:sz w:val="24"/>
          <w:szCs w:val="24"/>
        </w:rPr>
      </w:pPr>
    </w:p>
    <w:p w:rsidR="00102DEE" w:rsidRDefault="00102DEE">
      <w:pPr>
        <w:rPr>
          <w:sz w:val="24"/>
          <w:szCs w:val="24"/>
        </w:rPr>
      </w:pPr>
    </w:p>
    <w:p w:rsidR="003B5791" w:rsidRDefault="00D86D9C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D86D9C" w:rsidRDefault="00D86D9C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УВПиОС </w:t>
      </w:r>
      <w:r w:rsidR="00AE0B33">
        <w:rPr>
          <w:sz w:val="24"/>
          <w:szCs w:val="24"/>
        </w:rPr>
        <w:t xml:space="preserve">  </w:t>
      </w:r>
      <w:r>
        <w:rPr>
          <w:sz w:val="24"/>
          <w:szCs w:val="24"/>
        </w:rPr>
        <w:t>Н.М. Иванова, 5-00-62</w:t>
      </w:r>
    </w:p>
    <w:p w:rsidR="00AE0B33" w:rsidRDefault="00AE0B33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</w:t>
      </w:r>
      <w:proofErr w:type="spellStart"/>
      <w:r>
        <w:rPr>
          <w:sz w:val="24"/>
          <w:szCs w:val="24"/>
        </w:rPr>
        <w:t>УВПиОС</w:t>
      </w:r>
      <w:proofErr w:type="spellEnd"/>
      <w:r>
        <w:rPr>
          <w:sz w:val="24"/>
          <w:szCs w:val="24"/>
        </w:rPr>
        <w:t xml:space="preserve">   К.М. </w:t>
      </w:r>
      <w:proofErr w:type="spellStart"/>
      <w:r>
        <w:rPr>
          <w:sz w:val="24"/>
          <w:szCs w:val="24"/>
        </w:rPr>
        <w:t>Манахова</w:t>
      </w:r>
      <w:proofErr w:type="spellEnd"/>
      <w:r>
        <w:rPr>
          <w:sz w:val="24"/>
          <w:szCs w:val="24"/>
        </w:rPr>
        <w:t>, 5-00-73</w:t>
      </w:r>
    </w:p>
    <w:p w:rsidR="00D86D9C" w:rsidRPr="003B5791" w:rsidRDefault="00AE0B33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гражданских инициатив </w:t>
      </w:r>
      <w:r w:rsidR="00D86D9C">
        <w:rPr>
          <w:sz w:val="24"/>
          <w:szCs w:val="24"/>
        </w:rPr>
        <w:t xml:space="preserve">УВПиОС </w:t>
      </w:r>
      <w:r>
        <w:rPr>
          <w:sz w:val="24"/>
          <w:szCs w:val="24"/>
        </w:rPr>
        <w:t xml:space="preserve">  </w:t>
      </w:r>
      <w:r w:rsidR="00D86D9C">
        <w:rPr>
          <w:sz w:val="24"/>
          <w:szCs w:val="24"/>
        </w:rPr>
        <w:t>Т.В. Хвощевская, 5-0</w:t>
      </w:r>
      <w:r>
        <w:rPr>
          <w:sz w:val="24"/>
          <w:szCs w:val="24"/>
        </w:rPr>
        <w:t>1</w:t>
      </w:r>
      <w:r w:rsidR="00D86D9C">
        <w:rPr>
          <w:sz w:val="24"/>
          <w:szCs w:val="24"/>
        </w:rPr>
        <w:t>-</w:t>
      </w:r>
      <w:r>
        <w:rPr>
          <w:sz w:val="24"/>
          <w:szCs w:val="24"/>
        </w:rPr>
        <w:t>00</w:t>
      </w:r>
    </w:p>
    <w:sectPr w:rsidR="00D86D9C" w:rsidRPr="003B5791" w:rsidSect="00D1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296"/>
    <w:rsid w:val="00012179"/>
    <w:rsid w:val="0002403E"/>
    <w:rsid w:val="000846F7"/>
    <w:rsid w:val="000918BE"/>
    <w:rsid w:val="000E2A76"/>
    <w:rsid w:val="000E6F12"/>
    <w:rsid w:val="00102DEE"/>
    <w:rsid w:val="00123BCC"/>
    <w:rsid w:val="001511FD"/>
    <w:rsid w:val="00160A2F"/>
    <w:rsid w:val="00173B34"/>
    <w:rsid w:val="001A1B2E"/>
    <w:rsid w:val="001D5D0E"/>
    <w:rsid w:val="00263B3E"/>
    <w:rsid w:val="00273157"/>
    <w:rsid w:val="002A1429"/>
    <w:rsid w:val="002E21CA"/>
    <w:rsid w:val="00311C21"/>
    <w:rsid w:val="003123C1"/>
    <w:rsid w:val="00361E29"/>
    <w:rsid w:val="003645C8"/>
    <w:rsid w:val="00377003"/>
    <w:rsid w:val="003B5791"/>
    <w:rsid w:val="003E0D98"/>
    <w:rsid w:val="003E254B"/>
    <w:rsid w:val="00483225"/>
    <w:rsid w:val="0049773F"/>
    <w:rsid w:val="004C2743"/>
    <w:rsid w:val="00532FD9"/>
    <w:rsid w:val="00550069"/>
    <w:rsid w:val="00563406"/>
    <w:rsid w:val="005648C0"/>
    <w:rsid w:val="00595954"/>
    <w:rsid w:val="005A0950"/>
    <w:rsid w:val="005B0B06"/>
    <w:rsid w:val="005D6EA6"/>
    <w:rsid w:val="006117E0"/>
    <w:rsid w:val="00647DF7"/>
    <w:rsid w:val="006567F9"/>
    <w:rsid w:val="006C0B41"/>
    <w:rsid w:val="00711679"/>
    <w:rsid w:val="00711C27"/>
    <w:rsid w:val="00761376"/>
    <w:rsid w:val="00791D19"/>
    <w:rsid w:val="007A50C0"/>
    <w:rsid w:val="007C7FA6"/>
    <w:rsid w:val="007F5748"/>
    <w:rsid w:val="00800654"/>
    <w:rsid w:val="00880565"/>
    <w:rsid w:val="008C1C32"/>
    <w:rsid w:val="008C5C0B"/>
    <w:rsid w:val="008E13F7"/>
    <w:rsid w:val="00930AD7"/>
    <w:rsid w:val="00937CFF"/>
    <w:rsid w:val="009B21B5"/>
    <w:rsid w:val="009D518D"/>
    <w:rsid w:val="00A22E6B"/>
    <w:rsid w:val="00A31358"/>
    <w:rsid w:val="00A552F4"/>
    <w:rsid w:val="00A61416"/>
    <w:rsid w:val="00A73642"/>
    <w:rsid w:val="00A97DED"/>
    <w:rsid w:val="00AD5E15"/>
    <w:rsid w:val="00AD6022"/>
    <w:rsid w:val="00AE0B33"/>
    <w:rsid w:val="00AF2096"/>
    <w:rsid w:val="00B2671D"/>
    <w:rsid w:val="00C4513C"/>
    <w:rsid w:val="00CD5106"/>
    <w:rsid w:val="00D02437"/>
    <w:rsid w:val="00D166B5"/>
    <w:rsid w:val="00D2743B"/>
    <w:rsid w:val="00D553FA"/>
    <w:rsid w:val="00D86D9C"/>
    <w:rsid w:val="00DB161C"/>
    <w:rsid w:val="00DF0CCE"/>
    <w:rsid w:val="00DF1ED9"/>
    <w:rsid w:val="00DF7E71"/>
    <w:rsid w:val="00E80F45"/>
    <w:rsid w:val="00E817AD"/>
    <w:rsid w:val="00EB2296"/>
    <w:rsid w:val="00EC3B61"/>
    <w:rsid w:val="00ED3FD3"/>
    <w:rsid w:val="00ED51E8"/>
    <w:rsid w:val="00EF4929"/>
    <w:rsid w:val="00F760DC"/>
    <w:rsid w:val="00F90031"/>
    <w:rsid w:val="00FA6742"/>
    <w:rsid w:val="00FB4E96"/>
    <w:rsid w:val="00FB7EBA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91"/>
    <w:pPr>
      <w:ind w:left="720"/>
    </w:pPr>
  </w:style>
  <w:style w:type="table" w:styleId="a4">
    <w:name w:val="Table Grid"/>
    <w:basedOn w:val="a1"/>
    <w:uiPriority w:val="59"/>
    <w:rsid w:val="00A9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02403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F7E71"/>
    <w:rPr>
      <w:color w:val="0000FF"/>
      <w:u w:val="single"/>
    </w:rPr>
  </w:style>
  <w:style w:type="character" w:styleId="a7">
    <w:name w:val="Strong"/>
    <w:basedOn w:val="a0"/>
    <w:uiPriority w:val="22"/>
    <w:qFormat/>
    <w:rsid w:val="00DF7E7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D60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02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91"/>
    <w:pPr>
      <w:ind w:left="720"/>
    </w:pPr>
  </w:style>
  <w:style w:type="table" w:styleId="a4">
    <w:name w:val="Table Grid"/>
    <w:basedOn w:val="a1"/>
    <w:uiPriority w:val="59"/>
    <w:rsid w:val="00A9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02403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Ирина Ивановна</dc:creator>
  <cp:keywords/>
  <dc:description/>
  <cp:lastModifiedBy>Абаева Ирина Ивановна</cp:lastModifiedBy>
  <cp:revision>37</cp:revision>
  <cp:lastPrinted>2022-02-08T05:28:00Z</cp:lastPrinted>
  <dcterms:created xsi:type="dcterms:W3CDTF">2020-02-01T11:30:00Z</dcterms:created>
  <dcterms:modified xsi:type="dcterms:W3CDTF">2022-03-25T07:45:00Z</dcterms:modified>
</cp:coreProperties>
</file>