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394AAF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022656">
        <w:rPr>
          <w:b/>
          <w:bCs/>
          <w:lang w:val="ru-RU"/>
        </w:rPr>
        <w:t>7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7223AF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22690</w:t>
            </w:r>
            <w:r w:rsidR="00183EAB" w:rsidRPr="00183EAB">
              <w:rPr>
                <w:lang w:val="ru-RU"/>
              </w:rPr>
              <w:t>,00</w:t>
            </w:r>
          </w:p>
          <w:p w:rsidR="00183EAB" w:rsidRPr="00170C72" w:rsidRDefault="00183EA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</w:t>
            </w:r>
            <w:r w:rsidR="002D4032">
              <w:rPr>
                <w:lang w:val="ru-RU"/>
              </w:rPr>
              <w:t>квартала</w:t>
            </w: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F3684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8850,0</w:t>
            </w:r>
            <w:r w:rsidR="00EF3684">
              <w:rPr>
                <w:lang w:val="ru-RU"/>
              </w:rPr>
              <w:t xml:space="preserve"> в течение квартала,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183EAB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</w:t>
            </w:r>
            <w:r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2D4032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плана мероприятия по применению приоритетной формы 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 по обеспечению права подопечным на 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Default="00150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11040,48</w:t>
            </w:r>
          </w:p>
          <w:p w:rsidR="009F080E" w:rsidRPr="00570399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</w:t>
            </w:r>
            <w:r w:rsidR="00792D14">
              <w:rPr>
                <w:lang w:val="ru-RU"/>
              </w:rPr>
              <w:t>7</w:t>
            </w:r>
            <w:r>
              <w:rPr>
                <w:lang w:val="ru-RU"/>
              </w:rPr>
              <w:t>.2017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 xml:space="preserve">Представление законных интересов несовершеннолетних в судах по </w:t>
            </w:r>
            <w:r w:rsidRPr="009E0362">
              <w:rPr>
                <w:rFonts w:eastAsia="Times New Roman" w:cs="Times New Roman"/>
                <w:lang w:val="ru-RU" w:eastAsia="ar-SA"/>
              </w:rPr>
              <w:lastRenderedPageBreak/>
              <w:t>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Главные </w:t>
            </w:r>
            <w:r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 течение </w:t>
            </w:r>
            <w:r>
              <w:rPr>
                <w:lang w:val="ru-RU"/>
              </w:rPr>
              <w:lastRenderedPageBreak/>
              <w:t>квартала</w:t>
            </w:r>
          </w:p>
        </w:tc>
        <w:tc>
          <w:tcPr>
            <w:tcW w:w="2124" w:type="dxa"/>
            <w:gridSpan w:val="2"/>
          </w:tcPr>
          <w:p w:rsidR="00884151" w:rsidRDefault="00884151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lastRenderedPageBreak/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</w:t>
            </w:r>
            <w:r w:rsidR="00C14B4C">
              <w:rPr>
                <w:lang w:val="ru-RU"/>
              </w:rPr>
              <w:lastRenderedPageBreak/>
              <w:t>решения суда</w:t>
            </w:r>
          </w:p>
        </w:tc>
        <w:tc>
          <w:tcPr>
            <w:tcW w:w="2124" w:type="dxa"/>
            <w:gridSpan w:val="2"/>
          </w:tcPr>
          <w:p w:rsidR="00ED04BD" w:rsidRDefault="00ED04BD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C14B4C" w:rsidRDefault="00C14B4C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1045A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  <w:r w:rsidR="006039DF">
              <w:rPr>
                <w:lang w:val="ru-RU"/>
              </w:rPr>
              <w:t xml:space="preserve"> (право на алименты)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3A003A">
              <w:rPr>
                <w:lang w:val="ru-RU"/>
              </w:rPr>
              <w:t>1.</w:t>
            </w:r>
            <w:r w:rsidR="006039DF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6039DF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</w:t>
            </w:r>
            <w:r w:rsidR="009F080E">
              <w:rPr>
                <w:lang w:val="ru-RU"/>
              </w:rPr>
              <w:t xml:space="preserve"> межведомственно</w:t>
            </w:r>
            <w:r>
              <w:rPr>
                <w:lang w:val="ru-RU"/>
              </w:rPr>
              <w:t>м</w:t>
            </w:r>
            <w:r w:rsidR="009F080E">
              <w:rPr>
                <w:lang w:val="ru-RU"/>
              </w:rPr>
              <w:t xml:space="preserve"> взаимодействи</w:t>
            </w:r>
            <w:r>
              <w:rPr>
                <w:lang w:val="ru-RU"/>
              </w:rPr>
              <w:t>и</w:t>
            </w:r>
            <w:r w:rsidR="009F080E">
              <w:rPr>
                <w:lang w:val="ru-RU"/>
              </w:rPr>
              <w:t xml:space="preserve">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039DF" w:rsidTr="00875E66">
        <w:tc>
          <w:tcPr>
            <w:tcW w:w="858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</w:p>
        </w:tc>
        <w:tc>
          <w:tcPr>
            <w:tcW w:w="7618" w:type="dxa"/>
          </w:tcPr>
          <w:p w:rsidR="006039DF" w:rsidRDefault="006039DF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организации обучения опекунов для недееспособных подопечных, с передачей полномочий в НКО</w:t>
            </w:r>
          </w:p>
        </w:tc>
        <w:tc>
          <w:tcPr>
            <w:tcW w:w="2037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6039DF" w:rsidRDefault="006039D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6039DF">
              <w:rPr>
                <w:lang w:val="ru-RU"/>
              </w:rPr>
              <w:t>1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6039DF">
              <w:rPr>
                <w:lang w:val="ru-RU"/>
              </w:rPr>
              <w:t>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</w:t>
            </w:r>
            <w:r w:rsidR="005C1C19">
              <w:rPr>
                <w:lang w:val="ru-RU"/>
              </w:rPr>
              <w:t>обеспечения права подопечных на общение с родителями, получение алиментов, обеспечение их безопасности в различных сферах жизнедеятельности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5C1C19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875E66">
            <w:pPr>
              <w:pStyle w:val="TableContents"/>
            </w:pP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B8146E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5D42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7B0366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7B0366">
              <w:rPr>
                <w:bCs/>
                <w:lang w:val="ru-RU"/>
              </w:rPr>
              <w:t>специалисты-эксперты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7B0366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="001E794F">
              <w:rPr>
                <w:lang w:val="ru-RU"/>
              </w:rPr>
              <w:t>6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2.17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2.20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6407ED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</w:t>
            </w:r>
            <w:r w:rsidR="001E794F">
              <w:rPr>
                <w:lang w:val="ru-RU"/>
              </w:rPr>
              <w:t xml:space="preserve">емейных форм устройства 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>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июнь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7B0366" w:rsidP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Обучение на курсах повышения квалификации 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4A7648" w:rsidTr="00875E66">
        <w:trPr>
          <w:trHeight w:val="432"/>
        </w:trPr>
        <w:tc>
          <w:tcPr>
            <w:tcW w:w="858" w:type="dxa"/>
          </w:tcPr>
          <w:p w:rsidR="004A7648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4A7648" w:rsidRDefault="007B0366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Онлайн-обучение на ресурсах проекта Кадрового капитала Югры</w:t>
            </w:r>
          </w:p>
        </w:tc>
        <w:tc>
          <w:tcPr>
            <w:tcW w:w="2037" w:type="dxa"/>
          </w:tcPr>
          <w:p w:rsidR="004A7648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612B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bookmarkStart w:id="0" w:name="_GoBack"/>
      <w:bookmarkEnd w:id="0"/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proofErr w:type="spellEnd"/>
    </w:p>
    <w:p w:rsidR="007B0366" w:rsidRDefault="007B0366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0612BD" w:rsidP="00C71345">
      <w:r>
        <w:rPr>
          <w:b/>
          <w:bCs/>
          <w:kern w:val="0"/>
          <w:lang w:val="ru-RU"/>
        </w:rPr>
        <w:t xml:space="preserve">Заместитель главы города </w:t>
      </w:r>
      <w:proofErr w:type="spellStart"/>
      <w:r>
        <w:rPr>
          <w:b/>
          <w:bCs/>
          <w:kern w:val="0"/>
          <w:lang w:val="ru-RU"/>
        </w:rPr>
        <w:t>Югорска</w:t>
      </w:r>
      <w:proofErr w:type="spellEnd"/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А.В. Бородкин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67FCD"/>
    <w:rsid w:val="00376B3B"/>
    <w:rsid w:val="00385D9E"/>
    <w:rsid w:val="00394AAF"/>
    <w:rsid w:val="003A003A"/>
    <w:rsid w:val="003A2302"/>
    <w:rsid w:val="003B2981"/>
    <w:rsid w:val="003D77D9"/>
    <w:rsid w:val="00412294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13954"/>
    <w:rsid w:val="005322A2"/>
    <w:rsid w:val="00570399"/>
    <w:rsid w:val="005B6FE9"/>
    <w:rsid w:val="005C1C19"/>
    <w:rsid w:val="005D4248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C34BB"/>
    <w:rsid w:val="006C7C08"/>
    <w:rsid w:val="007223AF"/>
    <w:rsid w:val="00792D14"/>
    <w:rsid w:val="007B0366"/>
    <w:rsid w:val="007B3C31"/>
    <w:rsid w:val="008669C6"/>
    <w:rsid w:val="008717C2"/>
    <w:rsid w:val="00875E66"/>
    <w:rsid w:val="00884151"/>
    <w:rsid w:val="00895F81"/>
    <w:rsid w:val="008B0C15"/>
    <w:rsid w:val="008E6B5E"/>
    <w:rsid w:val="009163B3"/>
    <w:rsid w:val="00930F48"/>
    <w:rsid w:val="00956BD3"/>
    <w:rsid w:val="009643F6"/>
    <w:rsid w:val="009936DC"/>
    <w:rsid w:val="009A6C04"/>
    <w:rsid w:val="009E0362"/>
    <w:rsid w:val="009F080E"/>
    <w:rsid w:val="009F0F80"/>
    <w:rsid w:val="00A06B5C"/>
    <w:rsid w:val="00A660E4"/>
    <w:rsid w:val="00A8129D"/>
    <w:rsid w:val="00A93E2F"/>
    <w:rsid w:val="00AE5901"/>
    <w:rsid w:val="00AE7838"/>
    <w:rsid w:val="00B13EE6"/>
    <w:rsid w:val="00B8146E"/>
    <w:rsid w:val="00B82B00"/>
    <w:rsid w:val="00BB758B"/>
    <w:rsid w:val="00BC567F"/>
    <w:rsid w:val="00BE065F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637BB"/>
    <w:rsid w:val="00E97C31"/>
    <w:rsid w:val="00ED04BD"/>
    <w:rsid w:val="00EF3684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48A7-160B-4F5E-B12A-D201A763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36</cp:revision>
  <cp:lastPrinted>2016-02-08T13:22:00Z</cp:lastPrinted>
  <dcterms:created xsi:type="dcterms:W3CDTF">2016-01-22T04:50:00Z</dcterms:created>
  <dcterms:modified xsi:type="dcterms:W3CDTF">2017-04-04T11:09:00Z</dcterms:modified>
</cp:coreProperties>
</file>