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D29E5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853" w:rsidRDefault="00F13853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F13853" w:rsidRDefault="00F13853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E05705" w:rsidRDefault="00E05705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12 апреля 2017 года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831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DF5933" w:rsidRDefault="00DF5933" w:rsidP="00DF59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DF5933" w:rsidRDefault="00DF5933" w:rsidP="00DF59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DF5933" w:rsidRDefault="00DF5933" w:rsidP="00DF59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31.10.2013 № 3286 </w:t>
      </w:r>
    </w:p>
    <w:p w:rsidR="00DF5933" w:rsidRDefault="00DF5933" w:rsidP="00DF59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DF5933" w:rsidRDefault="00DF5933" w:rsidP="00DF5933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DF5933" w:rsidRDefault="00DF5933" w:rsidP="00DF5933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DF5933" w:rsidRDefault="00DF5933" w:rsidP="00DF5933">
      <w:pPr>
        <w:jc w:val="both"/>
        <w:rPr>
          <w:sz w:val="24"/>
          <w:szCs w:val="24"/>
        </w:rPr>
      </w:pPr>
    </w:p>
    <w:p w:rsidR="00DF5933" w:rsidRDefault="00DF5933" w:rsidP="00DF5933">
      <w:pPr>
        <w:jc w:val="both"/>
        <w:rPr>
          <w:sz w:val="24"/>
          <w:szCs w:val="24"/>
        </w:rPr>
      </w:pPr>
    </w:p>
    <w:p w:rsidR="00DF5933" w:rsidRDefault="00DF5933" w:rsidP="00DF5933">
      <w:pPr>
        <w:jc w:val="both"/>
        <w:rPr>
          <w:sz w:val="24"/>
          <w:szCs w:val="24"/>
        </w:rPr>
      </w:pP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целевых показателей и объемов финансирования мероприятий муниципальной программы: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2244,от 22.07.2014 № 3663, от 06.08.2014 № 3996, от 09.10.2014 № 5235, от 17.11.2014                  № 6229, от 04.12.2014 № 6699, от 23.12.2014 № 7244, от 30.12.2014 № 7413, от 31.12.2014                   № 7433, от 29.04.2015 № 1942, от 26.05.2015 № 2131, от 28.08.2015 № 2903, от 25.11.2015                 № 3423, от 21.12.2015 № 3717, от 24.12.2015 № 3755, от 20.02.2016 № 407, от 17.03.2016 № 579, от 16.05.2016 № 1019, от 30.06.2016 № 1537, от 13.09.2016 № 2225, от 24.11.2016 № 2955,                 от 22.12.2016 № 3302) следующие изменения:</w:t>
      </w:r>
    </w:p>
    <w:p w:rsidR="00DF5933" w:rsidRDefault="00DF5933" w:rsidP="00DF59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DF5933" w:rsidRDefault="00DF5933" w:rsidP="00DF5933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DF5933" w:rsidRPr="00DF5933" w:rsidTr="00DF59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33" w:rsidRDefault="00DF593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</w:p>
          <w:p w:rsidR="00DF5933" w:rsidRDefault="00DF593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–9 745 814,6 тыс.руб., в том числе: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6 455 550,3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2 329 225,4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961 038,9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 реализации: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2014 год 1 247 510,7  тыс. руб., в т.ч: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392 935,1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2015 год – 1 332 681,2  тыс. руб., в т.ч: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356 343,1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 финансирования на 2016 год – 1 446 890,2  тыс. руб., в т.ч: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–364 831,0 тыс.руб.;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2017 год – 1 403 989,8 тыс. руб., в т.ч: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997 772,1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302 111,6.тыс.руб.;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104 106,1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2018*  год – 1 383 217,7 тыс. руб., в т.ч: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958 996,5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315 668,2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108 553,0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2019* год – 1 437 837,7 тыс. руб., в т.ч: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273 168,2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244 606,0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2020* год – 1 493 687,3 тыс. руб., в т.ч: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324 168,2 тыс. руб.;</w:t>
            </w:r>
          </w:p>
          <w:p w:rsidR="00DF5933" w:rsidRDefault="00DF5933" w:rsidP="00DF5933">
            <w:pPr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249 455,6 тыс. руб.</w:t>
            </w:r>
          </w:p>
        </w:tc>
      </w:tr>
    </w:tbl>
    <w:p w:rsidR="00DF5933" w:rsidRDefault="00DF5933" w:rsidP="00DF5933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».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Раздел 1 изложить в следующей редакции:</w:t>
      </w:r>
    </w:p>
    <w:p w:rsidR="00DF5933" w:rsidRDefault="00DF5933" w:rsidP="00DF593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Раздел 1. Характеристика текущего состояния</w:t>
      </w:r>
    </w:p>
    <w:p w:rsidR="00DF5933" w:rsidRDefault="00DF5933" w:rsidP="00DF593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сферы социально-экономического развития города Югорска</w:t>
      </w:r>
    </w:p>
    <w:p w:rsidR="00DF5933" w:rsidRDefault="00DF5933" w:rsidP="00DF5933">
      <w:pPr>
        <w:ind w:firstLine="708"/>
        <w:jc w:val="both"/>
        <w:rPr>
          <w:sz w:val="24"/>
          <w:szCs w:val="24"/>
        </w:rPr>
      </w:pP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Повышение эффективности и качества образования - одно из базовых направлений реализации государственной политики, общая рамка тех системных преобразований, которые обеспечат решение вопросов социально-экономического развития.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Стратегическим приоритетом в развитии системы образования муниципального образования является создание условий для подготовки конкурентоспособных граждан                        в соответствии с социально-экономическими потребностями города Югорска.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и модернизация сфер образования города Югорска является необходимым условием для формирования инновационной экономики города и осуществляется на основании стратегии социально-экономического развития муниципального образования город Югорск            до 2020 года и на период до 2030 года, утвержденной решением Думы города Югорска                       от 26.02.2015 № 5.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01 января 2016 года 100% детей в возрасте от 3 до 7 лет обеспечены местами                     в дошкольных образовательных организациях, целевое значение показателя, установленного Указом Президента Российской Федерации от 07.05.2012 № 599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мерах по реализации государственной политики в области образования и науки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достигнуто. Таким образом, начиная с 2016 года перед отраслью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условиях благоприятной демографической ситуации стоит задача удержать достигнутые позиции и продолжить обеспечение местами в дошкольных образовательных организациях детей в возрасте до 3 лет.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этой задачи по повышению охвата дошкольным образованием привлекаются субъекты малого предпринимательства, в том числе на конкурсной основе.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в городе реализован механизм, позволяющий всем предпринимателям, получившим лицензию на ведение образовательной деятельности, получать бюджетное финансирование на реализацию программ дошкольного образования.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по состоянию на 01 января 2017 года услуги по организации дошкольного образования  оказывает  9 индивидуальных предпринимателей, в том числе: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 30.12.2015 лицензированное услуги дошкольного образования оказываются в частном детском саду «Мое солнышко» в 3-х группах дневного пребывания детей от 1 до 3 лет                         с охватом 48 детей;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 w:rsidRPr="00DF5933">
        <w:rPr>
          <w:sz w:val="24"/>
          <w:szCs w:val="24"/>
        </w:rPr>
        <w:t>- с 04.10</w:t>
      </w:r>
      <w:r>
        <w:rPr>
          <w:sz w:val="24"/>
          <w:szCs w:val="24"/>
        </w:rPr>
        <w:t>.2016 лицензированные услуги дошкольного образования оказываются детям               в возрасте от 1 до 3 лет с охватом 18 детей в Монтессори центре «Югорский умка»;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- 6 индивидуальных предпринимателей, оказывают иные услуги дошкольного образования детям о 1 года до 7 лет (занятие на развитие творческих и интеллектуальных особенностей, подготовка детей к школе, игровой английский, услуги логопеда).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Всего данными видами услуг охвачено 256 детей.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 в целях решения проблемы дефицита мест для детей дошкольного возраста дополнительно открыто 24 места - за счет оптимизации функционирующих дошкольных образовательных организаций.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назрела необходимость в реализации проектов, носящих стратегический долгосрочный характер, в том числе на условиях концессионных соглашений            и (или) соглашений о муниципально-частном партнерстве. Партнерство органов власти                        и бизнеса способно содействовать решению многих социальных задач, являясь результатом развития традиционных механизмов взаимодействия в целях разработки, планирования, финансирования, строительства и эксплуатации объектов инфраструктуры.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муниципально-частное партнерство рассматривается не только как инвестиционный механизм, но и как эффективная модель управления, которая, с одной стороны, позволяет сократить и оптимизировать расходы бюджета, с другой - повысить качество исполнения проекта и предоставления впоследствии на его базе общественных услуг.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Федеральных законов от 21.07.2015 № 115-ФЗ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концессионных соглашениях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от 13.07.2015 № 224-ФЗ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государственно-частном партнерстве, муниципально-частном партнерстве в Российской Федерации и внесении изменений                            в отдельные законодательные акты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объекты образования планируется создавать в соответствии с концессионными соглашениями и (или) соглашениями                                  о муниципально-частном партнерстве.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плана поэтапного внедрения федеральных государственных образовательных стандартов дошкольного образования в 100% дошкольных образовательных организаций предметно-пространственная среда приведена в соответствие с современными требованиями, 100% (2 605) детей обучаются по программам дошкольного образования                     в соответствии с федеральными государственными образовательными стандартами дошкольного образования. В сфере общего образования проведена масштабная модернизация сети организаций (по состоянию на 01 января 2017 года действуют 6 муниципальных                           и 1 частная общеобразовательная организация), оснащение их оборудованием, приведение материально-технической базы и инфраструктуры в соответствие с федеральными государственными образовательными стандартами, благодаря чему достигнуты следующие результаты: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- 100% учащихся 1 - 7 класс перешли на обучение по федеральным государственным образовательным стандартами, обеспечены соответствующими учебниками, обновлены библиотечные фонды;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выхода в сеть Интернет с компьютеров, расположенных в библиотеках, имеют 100% учащихся;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обучающихся, которым обеспечена возможность пользоваться широкополосным Интернетом (не менее 2 Мб/с), 100%;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кабинеты начальных классов в соответствии с федеральным государственным образовательным стандартом обеспечены мультимедийным комплектом оборудования;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- 100% педагогов 1 - 7 классов прошли повышение квалификации для преподавания                 по новым федеральным государственным образовательным стандартам.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Численность детей в общеобразовательных учреждениях города Югорска на 01 января 2017 года составляет 4 986 человек (в том числе 96 человек – обучающиеся негосударственного образовательного учреждения).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Ежегодный рост численности детей школьного возраста (7-17 лет) составляет около 180 человек, в результате чего в школах города сохраняется высокая доля числа обучающихся, занимающихся во вторую смену.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Пропускная способность существующих зданий общеобразовательных учреждений                 на составляет 3 980 учащихся (без учёта мощности негосударственных учреждений города). </w:t>
      </w:r>
    </w:p>
    <w:p w:rsidR="00DF5933" w:rsidRDefault="00DF5933" w:rsidP="00DF5933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перехода в односменный режим работы на сегодняшний день необходимо дополнительно создать 1006 мест.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2016 году удалось снизить долю обучающихся во вторую смену до 14,2% за счет принятия дополнительных мер по оптимизации расписания учебных занятий, а также реализации сетевых форм организации образовательного процесса с использованием ресурсов других образовательных учреждений в рамках профильного обучения.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протяжении последних лет в городе Югорске отмечается положительная демографическая ситуация. Демографические данные по детям школьного возраста основаны на фактических данных органов государственной статистики за предыдущие годы, а также исходя из анализа предыдущих лет, с учетом рождаемости и миграционных процессов в городе Югорске на будущие периоды. Рост численности детей в городе за счет миграционных процессов составляет не менее 0,5% ежегодно (25-30 человек).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2025 году количество обучающихся составит 6173 человек. В таком случае для перехода в односменный режим работы необходимо дополнительно создать 2 193 места.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школы города являются региональными инновационными площадками, пилотными  школами региона по реализации проекта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Обучение основам финансовой грамотности                       в образовательных организациях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- 3 общеобразовательных организации,                                                2 общеобразовательные организации стали школами-спутниками по работе с детьми, имеющими особенности развития.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ранней профессиональной ориентации учащихся действуют образовательные проекты, которые реализуются совместно с социальными партнерами с углубленным изучением отдельных предметов.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целью повышения уровня физико-математического и естественнонаучного образования на базе общеобразовательных организаций открыты и функционируют профильные классы, в том числе: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Газпром-класс - инженерно-технического профиля;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медицинский класс с углубленным изучением предметов естественнонаучного цикла. </w:t>
      </w:r>
    </w:p>
    <w:p w:rsidR="00DF5933" w:rsidRDefault="00DF5933" w:rsidP="00DF5933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целях удовлетворения образовательных запросов учащихся, их родителей (законных представителей) созданы условия по реализации предпрофильной подготовки и профильного обучения. Охват учащихся предпрофильной подготовкой в 2015-2016 учебном году составил – 100%, профильным обучением - 75%.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Наряду с учебными занятиями 100% учащихся 10-х классов прошли социальные практики, организованные в 33 учреждениях и организациях города.  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-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инклюзивное образование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в городе разработана нормативная правовая база, направленная на создание необходимых условий для получения качественного образования лиц                                  с ограниченными возможностями здоровья. В 16,6% общеобразовательных организаций создана универсальная безбарьерная среда для организации инклюзивного образования.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муниципального бюджетного общеобразовательного учреждения «Средняя общеобразовательная школа № 2» продолжают функционировать классы, в которых обучаются по адаптированным основным общеобразовательным программам 16 человек. Организована деятельность муниципального бюджетного общеобразовательного учреждения «Лицей                        им. Г.Ф. Атякшева» как базового образовательного учреждения, организующего дистанционное обучение для детей инвалидов.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важно, чтобы в каждой общеобразовательной организации были обеспечены современные бытовые условия, в связи с чем ежегодно проводятся мероприятия                                 по обеспечению комплексной безопасности школьных зданий.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Здания общеобразовательных учреждений обеспечены: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кнопками экстренного вызова группы быстрого реагирования – 92 % (нет                                  в муниципальном бюджетном общеобразовательном учреждении «Средняя общеобразовательная школа № 4» по техническим причинам);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системами пожарной безопасности -100 %;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охраной частными охранными предприятиями, имеющими лицензию на данный вид деятельности (в период образовательного процесса) -100 %;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системами видеонаблюдения -100 %;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системами пожарной автоматики с дублированием сигнала о пожаре на пульт подразделения пожарной охраны без участия работников объекта – 100 %.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Доля общеобразовательных организаций, соответствующих современным требованиям, оставляет 83,3%.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осуществления безопасных перевозок организованных групп детей имеются четыре автобуса (два автобуса на 22 места, один на 34 места, один на 11 мест), оснащенные ремнями безопасности, контрольным устройством - тахограф цифровой, системой спутниковой навигации ГЛОНАСС. Водители, выполняющие перевозку детей, в обязательном порядке проходят предрейсовый медицинский осмотр.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01 января 2017 года образовательные потребности учащихся по дополнительным образовательным программам реализуются в 3 муниципальных организациях дополнительного образования детей. </w:t>
      </w:r>
    </w:p>
    <w:p w:rsidR="00DF5933" w:rsidRDefault="00DF5933" w:rsidP="00DF593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Обеспечены условия для формирования открытого образовательного пространства, определяющего осознанное жизненное самоопределение и успешную социализацию детей                   и молодежи: </w:t>
      </w:r>
    </w:p>
    <w:p w:rsidR="00DF5933" w:rsidRDefault="00DF5933" w:rsidP="00DF593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разработан План мероприятий (дорожная карта) по реализации Концепции развития дополнительного образования детей города Югорска на 2015-2018 годы;</w:t>
      </w:r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внесены изменения в программы развития образовательных учреждений, в Положения о творческих формированиях; </w:t>
      </w:r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заключены соглашения о взаимодействии между образовательными учреждениями                 и социальными партнерами по реализации совместных образовательных программ, элективных курсов, модулей. 17 дополнительных общеобразовательных программ реализуется в сетевой форме;</w:t>
      </w:r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разработаны и внедрены портфолио обучающихся. Охват детей портфолио                             в образовательных учреждениях составил 75%;</w:t>
      </w:r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- 56 педагогов, внедряющих новые формы и технологии в реализации образовательных программ дополнительного образования, приняли участие в работе кадровой школы «Методические модели программ открытого дополнительного образования и молодежной политики». 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развития научно-технического направления в дополнительном образовании заключено соглашение о сотрудничестве между администрацией города Югорска, обществом            с ограниченной ответственностью «Газпром трансгаз Югорск», Правительством                         Ханты-Мансийского автономного округа - Югры и автономной некоммерческой организацией «Агентство стратегических инициатив по продвижению новых проектов», в соответствии                  с которым реализуется проектная инициатива «Новая модель системы дополнительного образования детей» - ресурсный центр - детский технопарк «Кванториум».</w:t>
      </w:r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Восемь модульных образовательных программ дополнительного образования были представлены на конкурс в округе. Программы образовательных организаций города Югорска заняли второе и третье места. Эти программы вошли в реестр 50 лучших модульных образовательных программ и будут  размещены в окружном навигаторе.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итогам мониторинга в 2015-2016 учебном году доля детей, охваченных                       научно-техническим творчеством, составила 34 процента от общего количества детей                            в возрасте от 5 до18 лет. Техническими видами творчества охвачено 11% учащихся.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в округе реализуется проект «Сертификат дополнительного образования», в связи с этим Управление образования работает над внедрением нового финансово-экономического механизма «Сертификат дополнительного образования», позволяющего предпринимателям, имеющим лицензию на ведение образовательной деятельности и индивидуальным предпринимателям получить доступ к бюджетному финансированию.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положений Указов Президента Российской Федерации от 07.05.2012               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 решаются задачи по обеспечению достижения целевых показателей уровня заработной платы отдельных категорий работников образовательных организаций, при этом достижение целевых показателей взаимосвязано с повышением качества образовательных услуг (переход на «эффективный контракт»).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Действующей в городе системой оплаты труда уже предусмотрена дифференциация заработной платы педагогических работников в зависимости от показателей качества </w:t>
      </w:r>
      <w:r>
        <w:rPr>
          <w:sz w:val="24"/>
          <w:szCs w:val="24"/>
        </w:rPr>
        <w:lastRenderedPageBreak/>
        <w:t>(критериев оценки) деятельности работника. Обеспечено достижение целевых показателей средней заработной платы для педагогических работников. Реализуются мероприятия                        по повышению эффективности бюджетных расходов.</w:t>
      </w:r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Представители города ежегодно становятся победителями и призерами различных всероссийских и региональных конкурсов (лучший учитель Российской Федерации,</w:t>
      </w:r>
      <w:r>
        <w:rPr>
          <w:bCs/>
          <w:sz w:val="24"/>
          <w:szCs w:val="24"/>
          <w:lang w:eastAsia="ru-RU"/>
        </w:rPr>
        <w:t xml:space="preserve"> лучший педагог Ханты-Мансийского автономного округа - Югры, </w:t>
      </w:r>
      <w:r>
        <w:rPr>
          <w:sz w:val="24"/>
          <w:szCs w:val="24"/>
        </w:rPr>
        <w:t xml:space="preserve">в Всероссийский конкурс «Воспитатели России», </w:t>
      </w:r>
      <w:r>
        <w:rPr>
          <w:bCs/>
          <w:sz w:val="24"/>
          <w:szCs w:val="24"/>
        </w:rPr>
        <w:t xml:space="preserve">развитие кадетских классов с казачьим компонентом на базе муниципальных общеобразовательных организаций в Ханты - Мансийском автономном              округе - Югре, образовательных организаций в рамках реализации проектов модернизации                  и развития общего образования с проектом «Разработка региональных моделей оценки качества дошкольного образования», </w:t>
      </w:r>
      <w:r>
        <w:rPr>
          <w:sz w:val="24"/>
          <w:szCs w:val="24"/>
        </w:rPr>
        <w:t xml:space="preserve">«Ученик года», </w:t>
      </w:r>
      <w:r>
        <w:rPr>
          <w:bCs/>
          <w:sz w:val="24"/>
          <w:szCs w:val="24"/>
        </w:rPr>
        <w:t xml:space="preserve">образовательных организаций, имеющих статус региональных инновационных площадок, в 2016 году </w:t>
      </w:r>
      <w:r w:rsidRPr="00DF5933">
        <w:rPr>
          <w:bCs/>
          <w:sz w:val="24"/>
          <w:szCs w:val="24"/>
        </w:rPr>
        <w:t>(</w:t>
      </w:r>
      <w:r w:rsidRPr="00DF5933">
        <w:rPr>
          <w:rStyle w:val="ad"/>
          <w:i w:val="0"/>
          <w:sz w:val="24"/>
          <w:szCs w:val="24"/>
        </w:rPr>
        <w:t>номинация «Инициативный инновационный проект»)</w:t>
      </w:r>
      <w:r w:rsidRPr="00DF5933">
        <w:rPr>
          <w:bCs/>
          <w:i/>
          <w:sz w:val="24"/>
          <w:szCs w:val="24"/>
        </w:rPr>
        <w:t>,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Всероссийский робототехнический фестиваль в Москве                  «Робофест-2016, </w:t>
      </w:r>
      <w:r>
        <w:rPr>
          <w:sz w:val="24"/>
          <w:szCs w:val="24"/>
        </w:rPr>
        <w:t xml:space="preserve">робототехническая выставка «РобоЛайф»).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 не менее, в сфере образования города существуют следующие проблемы: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образовании: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существующая сеть дошкольных образовательных организаций не полностью удовлетворяет потребности населения, приоритетным становится обеспечение доступности дошкольного образования для детей в возрасте от 1,5 до 3 лет;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условии высокого демографического роста не удается в полном объеме обеспечить потребность населения услугами дошкольного образования только за счет строительства новых объектов, в связи с чем необходимо продолжить развитие негосударственного сектора, «Билдинг-садов», расширять альтернативные формы дошкольного образования;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введение федеральных государственных образовательных стандартов дошкольного образования требует: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конструирования и апробации нового развивающего образовательного пространства;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профессиональной компетентности педагогических работников;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и внедрения новых образовательных программ, учитывающих запросы                   и интересы всех участников образовательного процесса;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создания региональной системы оценки качества дошкольного образования.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общем образовании: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инфраструктура общего образования не в полной мере соответствует современным требованиям. Несмотря на меры, принимаемые администрацией города Югорска                               по строительству, ремонту объектов сферы образования, 16,6% всех общеобразовательных организаций требуют капитального ремонта, а 14,2% учащихся обучаются во вторую смену. Увеличить количество мест в школах за счет пристроя к зданиям, находящихся в условиях плотной городской застройки</w:t>
      </w:r>
      <w:r>
        <w:rPr>
          <w:rFonts w:ascii="Times New Roman" w:hAnsi="Times New Roman" w:cs="Times New Roman"/>
          <w:iCs/>
          <w:sz w:val="24"/>
          <w:szCs w:val="24"/>
        </w:rPr>
        <w:t xml:space="preserve"> жилыми и административными зданиями,</w:t>
      </w:r>
      <w:r>
        <w:rPr>
          <w:rFonts w:ascii="Times New Roman" w:hAnsi="Times New Roman" w:cs="Times New Roman"/>
          <w:sz w:val="24"/>
          <w:szCs w:val="24"/>
        </w:rPr>
        <w:t xml:space="preserve"> практически невозможно. Площади зданий учреждений дополнительного и профессионального образования задействованы в полном объеме  в течение всего учебного дня. Таким образом, необходимо строительство новых школ мощностью не менее 1800 мест. Решение данной проблемы возможно только с привлечением внебюджетных источников. В 2017-2019 годы планируется строительство муниципального общеобразовательного учреждения на 175 мест за счет внебюджетных средств,  в 2019-2024 годах двух школ на 900 и 600 мест на условиях концессионных соглашений;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во всех зданиях образовательных организаций создана безбарьерная среда;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городе сегодня педагоги получают достойную оплату за свой труд, так средняя зарплата учителей превысила среднюю по экономике региона. Однако оплата труда должна непосредственно зависеть от качества и эффективности деятельности работников                                   в соответствии с современными стандартами профессиональной деятельности педагогов;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осуществить детальный анализ причин, низких результатов итоговой аттестации по математике выпускников 9 - 11 классов, оценить уровень овладения педагогами предметным содержанием. На основании полученных результатов должна выстроиться система повышения квалификации - индивидуальная, для каждого учителя, с различными формами поддержки;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необходимо совершенствование системы выявления, поддержки и сопровождения одаренных детей, лидеров в сфере образования. Работа в данном направлении носит системный </w:t>
      </w:r>
      <w:r>
        <w:rPr>
          <w:rFonts w:ascii="Times New Roman" w:hAnsi="Times New Roman" w:cs="Times New Roman"/>
          <w:sz w:val="24"/>
          <w:szCs w:val="24"/>
        </w:rPr>
        <w:lastRenderedPageBreak/>
        <w:t>характер.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дальнейшего развития требует муниципальная система оценки качества образования.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дополнительном образовании: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тенденции развития профессий, рынков труда, информационной среды и технологий приводят к необходимости расширения спектра дополнительных общеобразовательных программ;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недостаточно развиты направления технического творчества, робототехники, моделирования;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инфраструктура современного дополнительного образования детей отстает                            от современных требований. Система дополнительного образования детей испытывает острый дефицит в современном оборудовании и инвентаре, учебных пособиях.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решение обозначенных проблем направлены основные мероприятия муниципальной программы, отраженные в таблице 2.».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2 изложить в новой редакции (приложение).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F5933" w:rsidRDefault="00DF5933" w:rsidP="00DF5933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Контроль за выполнением постановления возложить на заместителя главы города   Т.И. Долгодворову.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</w:p>
    <w:p w:rsidR="00DF5933" w:rsidRDefault="00DF5933" w:rsidP="00DF5933">
      <w:pPr>
        <w:ind w:firstLine="709"/>
        <w:jc w:val="both"/>
        <w:rPr>
          <w:sz w:val="24"/>
          <w:szCs w:val="24"/>
        </w:rPr>
      </w:pPr>
    </w:p>
    <w:p w:rsidR="00DF5933" w:rsidRDefault="00DF5933" w:rsidP="00DF5933">
      <w:pPr>
        <w:ind w:firstLine="709"/>
        <w:jc w:val="both"/>
        <w:rPr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sz w:val="24"/>
          <w:szCs w:val="24"/>
        </w:rPr>
        <w:sectPr w:rsidR="00DF593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F5933" w:rsidRDefault="00DF5933" w:rsidP="00DF5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F5933" w:rsidRDefault="00DF5933" w:rsidP="00DF5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F5933" w:rsidRDefault="00DF5933" w:rsidP="00DF5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F5933" w:rsidRPr="00E05705" w:rsidRDefault="00E05705" w:rsidP="00DF593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12 апреля 2017 года </w:t>
      </w:r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831</w:t>
      </w:r>
    </w:p>
    <w:p w:rsidR="00DF5933" w:rsidRDefault="00DF5933" w:rsidP="00DF5933">
      <w:pPr>
        <w:jc w:val="both"/>
        <w:rPr>
          <w:sz w:val="24"/>
          <w:szCs w:val="24"/>
        </w:rPr>
      </w:pPr>
    </w:p>
    <w:p w:rsidR="00592BC8" w:rsidRDefault="00592BC8" w:rsidP="00592BC8">
      <w:pPr>
        <w:jc w:val="right"/>
        <w:rPr>
          <w:color w:val="000000"/>
          <w:sz w:val="24"/>
          <w:szCs w:val="24"/>
          <w:lang w:eastAsia="ru-RU"/>
        </w:rPr>
      </w:pPr>
      <w:r w:rsidRPr="00592BC8">
        <w:rPr>
          <w:color w:val="000000"/>
          <w:sz w:val="24"/>
          <w:szCs w:val="24"/>
          <w:lang w:eastAsia="ru-RU"/>
        </w:rPr>
        <w:t>Таблица 2</w:t>
      </w:r>
    </w:p>
    <w:p w:rsidR="00592BC8" w:rsidRDefault="00592BC8" w:rsidP="00592BC8">
      <w:pPr>
        <w:jc w:val="right"/>
        <w:rPr>
          <w:color w:val="000000"/>
          <w:sz w:val="24"/>
          <w:szCs w:val="24"/>
          <w:lang w:eastAsia="ru-RU"/>
        </w:rPr>
      </w:pPr>
    </w:p>
    <w:p w:rsidR="00592BC8" w:rsidRPr="00592BC8" w:rsidRDefault="00592BC8" w:rsidP="00592BC8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92BC8"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592BC8" w:rsidRDefault="00592BC8" w:rsidP="00592BC8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92BC8">
        <w:rPr>
          <w:b/>
          <w:bCs/>
          <w:color w:val="000000"/>
          <w:sz w:val="24"/>
          <w:szCs w:val="24"/>
          <w:lang w:eastAsia="ru-RU"/>
        </w:rPr>
        <w:t>«Развитие образования города Югорска на 2014-2020 годы»</w:t>
      </w:r>
    </w:p>
    <w:p w:rsidR="00592BC8" w:rsidRDefault="00592BC8" w:rsidP="00592BC8">
      <w:pPr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6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979"/>
        <w:gridCol w:w="1565"/>
        <w:gridCol w:w="1134"/>
        <w:gridCol w:w="1276"/>
        <w:gridCol w:w="1276"/>
        <w:gridCol w:w="1275"/>
        <w:gridCol w:w="1276"/>
        <w:gridCol w:w="1275"/>
        <w:gridCol w:w="1275"/>
        <w:gridCol w:w="1276"/>
        <w:gridCol w:w="1276"/>
      </w:tblGrid>
      <w:tr w:rsidR="00592BC8" w:rsidRPr="005970B5" w:rsidTr="00592BC8">
        <w:trPr>
          <w:trHeight w:val="28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 xml:space="preserve">№ основного мероприятия 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 xml:space="preserve">Основные мероприятия программы (связь мероприятий </w:t>
            </w:r>
          </w:p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с целевыми показателями муниципальной программы)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1339" w:type="dxa"/>
            <w:gridSpan w:val="9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592BC8" w:rsidRPr="005970B5" w:rsidTr="00592BC8">
        <w:trPr>
          <w:trHeight w:val="1095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2BC8" w:rsidRDefault="00592BC8" w:rsidP="00224BAE">
            <w:pPr>
              <w:rPr>
                <w:color w:val="000000"/>
                <w:sz w:val="18"/>
                <w:szCs w:val="18"/>
                <w:lang w:eastAsia="ru-RU"/>
              </w:rPr>
            </w:pPr>
            <w:r w:rsidRPr="00592BC8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2014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2016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2017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2020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</w:t>
            </w:r>
          </w:p>
        </w:tc>
        <w:tc>
          <w:tcPr>
            <w:tcW w:w="1979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</w:t>
            </w:r>
          </w:p>
        </w:tc>
        <w:tc>
          <w:tcPr>
            <w:tcW w:w="156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13</w:t>
            </w:r>
          </w:p>
        </w:tc>
      </w:tr>
      <w:tr w:rsidR="00592BC8" w:rsidRPr="005970B5" w:rsidTr="00592BC8">
        <w:trPr>
          <w:trHeight w:val="585"/>
        </w:trPr>
        <w:tc>
          <w:tcPr>
            <w:tcW w:w="15607" w:type="dxa"/>
            <w:gridSpan w:val="12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592BC8" w:rsidRPr="005970B5" w:rsidTr="00592BC8">
        <w:trPr>
          <w:trHeight w:val="300"/>
        </w:trPr>
        <w:tc>
          <w:tcPr>
            <w:tcW w:w="15607" w:type="dxa"/>
            <w:gridSpan w:val="12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Задача I: Модернизация системы  общего и дополнительного образования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2 266,3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1 789,4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476,9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16 411,0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3 425,9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2 733,0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2 911,3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699,8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444,6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18 677,3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5 215,3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3 209,9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2 911,3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699,8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444,6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Обеспечение реализации осн</w:t>
            </w:r>
            <w:r>
              <w:rPr>
                <w:color w:val="000000"/>
                <w:lang w:eastAsia="ru-RU"/>
              </w:rPr>
              <w:t xml:space="preserve">овных образовательных программ </w:t>
            </w:r>
            <w:r w:rsidRPr="005970B5">
              <w:rPr>
                <w:color w:val="000000"/>
                <w:lang w:eastAsia="ru-RU"/>
              </w:rPr>
              <w:t>(№ 2-5, 7,8, 10-12, 14)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6 195 792,3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766 889,3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863 765,6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939 805,8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954 881,1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916 105,5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877 172,5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877 172,5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1 561 973,2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286 801,5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254 748,1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262 511,9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201 613,1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178 766,2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188 766,2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188 766,2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655 187,2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62 654,8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83 559,5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80 287,3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101 465,5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105 882,5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110 668,8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110 668,8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8 412 952,7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1 116 345,6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1 202 073,2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1 282 605,0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1 257 959,7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1 200 754,2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1 176 607,5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1 176 607,5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8 431 630,0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1 121 560,9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1 205 283,1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1 285 516,3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1 261 057,9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1 203 852,4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1 177 307,3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1 177 052,1 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6 198 058,6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768 678,7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864 242,5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939 805,8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954 881,1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916 105,5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877 172,5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877 172,5 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1 578 384,2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290 227,4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257 481,1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265 423,2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204 711,3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181 864,4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189 466,0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189 210,8 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655 187,2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62 654,8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80 287,3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101 465,5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105 882,5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110 668,8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110 668,8 </w:t>
            </w:r>
          </w:p>
        </w:tc>
      </w:tr>
      <w:tr w:rsidR="00592BC8" w:rsidRPr="005970B5" w:rsidTr="00592BC8">
        <w:trPr>
          <w:trHeight w:val="300"/>
        </w:trPr>
        <w:tc>
          <w:tcPr>
            <w:tcW w:w="15607" w:type="dxa"/>
            <w:gridSpan w:val="12"/>
            <w:shd w:val="clear" w:color="auto" w:fill="auto"/>
            <w:hideMark/>
          </w:tcPr>
          <w:p w:rsidR="00592BC8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Задача II: Создание современной системы оценки качества образования на основе принципов открытости, объективности, прозрачности, </w:t>
            </w:r>
          </w:p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общественно-профессионального участия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189,4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76,4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349,4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128,0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126,4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20 705,3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3 119,3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3 097,4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3 178,4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3 198,8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20 705,3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3 119,3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3 097,4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3 178,4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3 198,8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21 054,7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3 247,3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3 223,8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3 273,4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3 198,8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20 894,7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3 187,3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3 173,8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3 223,4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3 198,8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662"/>
        </w:trPr>
        <w:tc>
          <w:tcPr>
            <w:tcW w:w="15607" w:type="dxa"/>
            <w:gridSpan w:val="12"/>
            <w:shd w:val="clear" w:color="auto" w:fill="auto"/>
            <w:hideMark/>
          </w:tcPr>
          <w:p w:rsidR="00592BC8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Задача III: Развитие инфраструктуры и организационно-экономических механизмов, обеспечивающих равную доступность услуг  </w:t>
            </w:r>
          </w:p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общего и дополнительного образования детей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245 200,8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20 573,8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27 102,0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25 961,0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42 891,0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515 048,4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65 841,3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76 919,3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76 523,5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76 464,3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73 100,0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73 100,0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73 100,0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760 249,2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86 415,1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104 021,3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102 484,5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119 355,3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115 991,0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115 991,0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115 991,0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45 112,4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8 921,5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7 799,5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12 390,6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14 000,8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45 112,4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8 921,5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7 799,5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12 390,6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14 000,8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3 084,1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1 700,0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1 384,1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24 521,4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8 424,1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10 969,4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3 681,9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1 446,0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63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38 863,1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908,3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26 908,3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2 640,6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2 670,5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2 867,7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2 867,7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66 468,6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11 032,4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12 353,5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30 590,2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4 086,6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2 670,5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2 867,7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2 867,7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 xml:space="preserve">Проектирование, строительство (реконструкция), приобретение объектов, предназначенных для размещения муниципальных образовательных учреждений </w:t>
            </w:r>
          </w:p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(№ 17,18)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22 549,0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3 497,0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6 898,4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7 153,6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266 988,6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131 069,5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135 919,1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289 537,6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3 497,0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137 967,9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143 072,7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9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 xml:space="preserve">Проведение капитальных ремонтов зданий, сооружений, предназначенных для размещения муниципальных образовательных учреждений </w:t>
            </w:r>
          </w:p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(№ 19, 20)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9 046,8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9 046,8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122 715,3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91,4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2 290,4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52 000,0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131 762,1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9 138,2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2 290,4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52 000,0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Итого по Задаче III,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1 293 129,9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122 702,5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124 174,3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158 100,5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139 733,1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176 661,5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257 826,6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313 931,4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257 331,7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22 273,8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28 486,1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35 007,8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42 891,0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42 891,0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42 891,0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42 891,0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729 946,5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99 520,4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95 688,2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96 184,4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94 201,5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131 100,0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80 998,4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132 253,6</w:t>
            </w:r>
          </w:p>
        </w:tc>
      </w:tr>
      <w:tr w:rsidR="00592BC8" w:rsidRPr="005970B5" w:rsidTr="00592BC8">
        <w:trPr>
          <w:trHeight w:val="315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305 851,7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908,3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26 908,3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2 640,6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2 670,5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133 937,2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138 786,8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9 745 814,6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1 247 510,7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1 332 681,2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1 446 890,2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1 403 989,8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1 383 217,7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1 437 837,7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1 493 687,3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6 455 550,3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892 778,6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974 863,6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997 772,1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958 996,5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920 063,5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920 063,5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2 329 225,4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392 935,1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356 343,1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364 831,0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302 111,6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315 668,2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273 168,2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324 168,2</w:t>
            </w:r>
          </w:p>
        </w:tc>
      </w:tr>
      <w:tr w:rsidR="00592BC8" w:rsidRPr="005970B5" w:rsidTr="00592BC8">
        <w:trPr>
          <w:trHeight w:val="315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961 038,9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63 563,1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83 559,5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107 195,6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104 106,1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108 553,0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244 606,0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249 455,6</w:t>
            </w:r>
          </w:p>
        </w:tc>
      </w:tr>
      <w:tr w:rsidR="00592BC8" w:rsidRPr="005970B5" w:rsidTr="00592BC8">
        <w:trPr>
          <w:trHeight w:val="315"/>
        </w:trPr>
        <w:tc>
          <w:tcPr>
            <w:tcW w:w="15607" w:type="dxa"/>
            <w:gridSpan w:val="12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592BC8" w:rsidRPr="005970B5" w:rsidTr="00592BC8">
        <w:trPr>
          <w:trHeight w:val="6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289 537,6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3 497,0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137 967,9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143 072,7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22 549,0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3 497,0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6 898,4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7 153,6</w:t>
            </w:r>
          </w:p>
        </w:tc>
      </w:tr>
      <w:tr w:rsidR="00592BC8" w:rsidRPr="005970B5" w:rsidTr="00592BC8">
        <w:trPr>
          <w:trHeight w:val="315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266 988,6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131 069,5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135 919,1</w:t>
            </w:r>
          </w:p>
        </w:tc>
      </w:tr>
      <w:tr w:rsidR="00592BC8" w:rsidRPr="005970B5" w:rsidTr="00592BC8">
        <w:trPr>
          <w:trHeight w:val="6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9 324 514,9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1 231 177,2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1 332 681,2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1 434 255,0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1 401 699,4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1 327 217,7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1 298 869,8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1 298 614,6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6 446 503,5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892 778,6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965 816,8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997 772,1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958 996,5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920 063,5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920 063,5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2 183 961,1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376 601,6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356 343,1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361 242,6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299 821,2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259 668,2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265 269,8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265 014,6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694 050,3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63 563,1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83 559,5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107 195,6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104 106,1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108 553,0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113 536,5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113 536,5</w:t>
            </w:r>
          </w:p>
        </w:tc>
      </w:tr>
      <w:tr w:rsidR="00592BC8" w:rsidRPr="005970B5" w:rsidTr="00592BC8">
        <w:trPr>
          <w:trHeight w:val="6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421 299,7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12 635,2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2 290,4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56 000,0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138 967,9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195 072,7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9 046,8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9 046,8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145 264,3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3 588,4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2 290,4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56 000,0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7 898,4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59 153,6</w:t>
            </w:r>
          </w:p>
        </w:tc>
      </w:tr>
      <w:tr w:rsidR="00592BC8" w:rsidRPr="005970B5" w:rsidTr="00592BC8">
        <w:trPr>
          <w:trHeight w:val="315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266 988,6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131 069,5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135 919,1</w:t>
            </w:r>
          </w:p>
        </w:tc>
      </w:tr>
    </w:tbl>
    <w:p w:rsidR="00592BC8" w:rsidRPr="00592BC8" w:rsidRDefault="00592BC8" w:rsidP="00592BC8">
      <w:pPr>
        <w:jc w:val="center"/>
        <w:rPr>
          <w:sz w:val="24"/>
          <w:szCs w:val="24"/>
        </w:rPr>
      </w:pPr>
    </w:p>
    <w:sectPr w:rsidR="00592BC8" w:rsidRPr="00592BC8" w:rsidSect="00DF593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92BC8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29E5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F5933"/>
    <w:rsid w:val="00E05705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DF5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uiPriority w:val="59"/>
    <w:rsid w:val="00DF5933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DF59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DF5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uiPriority w:val="59"/>
    <w:rsid w:val="00DF5933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DF59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4722</Words>
  <Characters>26918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2015-11-27T07:01:00Z</cp:lastPrinted>
  <dcterms:created xsi:type="dcterms:W3CDTF">2019-02-01T12:40:00Z</dcterms:created>
  <dcterms:modified xsi:type="dcterms:W3CDTF">2019-02-01T12:40:00Z</dcterms:modified>
</cp:coreProperties>
</file>