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17" w:rsidRPr="008812DA" w:rsidRDefault="00260717" w:rsidP="00260717">
      <w:pPr>
        <w:jc w:val="center"/>
        <w:rPr>
          <w:b/>
          <w:spacing w:val="20"/>
        </w:rPr>
      </w:pPr>
      <w:r>
        <w:rPr>
          <w:b/>
          <w:spacing w:val="20"/>
        </w:rPr>
        <w:t xml:space="preserve">Информация </w:t>
      </w:r>
    </w:p>
    <w:p w:rsidR="00260717" w:rsidRDefault="00260717" w:rsidP="00260717">
      <w:pPr>
        <w:jc w:val="center"/>
        <w:rPr>
          <w:b/>
        </w:rPr>
      </w:pPr>
      <w:r w:rsidRPr="008812DA">
        <w:rPr>
          <w:b/>
        </w:rPr>
        <w:t xml:space="preserve">о реализации мероприятий муниципальной программы </w:t>
      </w:r>
    </w:p>
    <w:p w:rsidR="00260717" w:rsidRDefault="00260717" w:rsidP="00260717">
      <w:pPr>
        <w:jc w:val="center"/>
        <w:rPr>
          <w:b/>
        </w:rPr>
      </w:pPr>
      <w:r w:rsidRPr="008812DA">
        <w:rPr>
          <w:b/>
        </w:rPr>
        <w:t xml:space="preserve">«Благоустройство города Югорска на 2014-2020 годы» </w:t>
      </w:r>
    </w:p>
    <w:p w:rsidR="00260717" w:rsidRDefault="00260717" w:rsidP="00260717">
      <w:pPr>
        <w:jc w:val="center"/>
        <w:rPr>
          <w:b/>
        </w:rPr>
      </w:pPr>
      <w:r>
        <w:rPr>
          <w:b/>
        </w:rPr>
        <w:t>за 201</w:t>
      </w:r>
      <w:r w:rsidR="00556176">
        <w:rPr>
          <w:b/>
        </w:rPr>
        <w:t>6</w:t>
      </w:r>
      <w:r>
        <w:rPr>
          <w:b/>
        </w:rPr>
        <w:t xml:space="preserve"> год</w:t>
      </w:r>
    </w:p>
    <w:p w:rsidR="003348C2" w:rsidRDefault="003348C2" w:rsidP="00260717">
      <w:pPr>
        <w:jc w:val="center"/>
        <w:rPr>
          <w:b/>
        </w:rPr>
      </w:pPr>
    </w:p>
    <w:p w:rsidR="003348C2" w:rsidRDefault="003348C2" w:rsidP="00260717">
      <w:pPr>
        <w:jc w:val="center"/>
        <w:rPr>
          <w:b/>
        </w:rPr>
      </w:pPr>
    </w:p>
    <w:p w:rsidR="00260717" w:rsidRPr="00256B03" w:rsidRDefault="00260717" w:rsidP="00556176">
      <w:pPr>
        <w:ind w:firstLine="708"/>
        <w:jc w:val="both"/>
      </w:pPr>
      <w:r w:rsidRPr="00256B03">
        <w:t xml:space="preserve">Муниципальная программа «Благоустройство города Югорска на 2014-2020 годы» состоит из </w:t>
      </w:r>
      <w:r w:rsidR="00556176">
        <w:t>3</w:t>
      </w:r>
      <w:r w:rsidRPr="00256B03">
        <w:t xml:space="preserve">–х </w:t>
      </w:r>
      <w:r w:rsidR="00556176">
        <w:t>мероприятий</w:t>
      </w:r>
      <w:r w:rsidRPr="00256B03">
        <w:t>.</w:t>
      </w:r>
    </w:p>
    <w:p w:rsidR="00260717" w:rsidRPr="008812DA" w:rsidRDefault="00260717" w:rsidP="00260717">
      <w:pPr>
        <w:jc w:val="center"/>
        <w:rPr>
          <w:b/>
          <w:u w:val="single"/>
        </w:rPr>
      </w:pPr>
    </w:p>
    <w:p w:rsidR="00260717" w:rsidRDefault="00556176" w:rsidP="00260717">
      <w:pPr>
        <w:ind w:firstLine="708"/>
        <w:jc w:val="both"/>
        <w:rPr>
          <w:b/>
        </w:rPr>
      </w:pPr>
      <w:r>
        <w:rPr>
          <w:b/>
          <w:u w:val="single"/>
        </w:rPr>
        <w:t>Мероприятие</w:t>
      </w:r>
      <w:r w:rsidR="00260717" w:rsidRPr="008812DA">
        <w:rPr>
          <w:b/>
          <w:u w:val="single"/>
        </w:rPr>
        <w:t xml:space="preserve"> 1.</w:t>
      </w:r>
      <w:r w:rsidR="00260717" w:rsidRPr="008812DA">
        <w:rPr>
          <w:b/>
        </w:rPr>
        <w:t xml:space="preserve"> «Благоустройство территорий города Югорска</w:t>
      </w:r>
      <w:r>
        <w:rPr>
          <w:b/>
        </w:rPr>
        <w:t>»</w:t>
      </w:r>
      <w:r w:rsidR="00260717" w:rsidRPr="008812DA">
        <w:rPr>
          <w:b/>
        </w:rPr>
        <w:t xml:space="preserve">. </w:t>
      </w:r>
    </w:p>
    <w:p w:rsidR="00556176" w:rsidRDefault="00556176" w:rsidP="00260717">
      <w:pPr>
        <w:ind w:firstLine="708"/>
        <w:jc w:val="both"/>
        <w:rPr>
          <w:b/>
        </w:rPr>
      </w:pPr>
    </w:p>
    <w:p w:rsidR="00260717" w:rsidRPr="00916CE7" w:rsidRDefault="00260717" w:rsidP="00260717">
      <w:pPr>
        <w:ind w:firstLine="720"/>
        <w:jc w:val="both"/>
      </w:pPr>
      <w:r w:rsidRPr="00916CE7">
        <w:t>В рамках данно</w:t>
      </w:r>
      <w:r w:rsidR="00556176">
        <w:t xml:space="preserve">го мероприятия </w:t>
      </w:r>
      <w:r w:rsidRPr="00916CE7">
        <w:t>реализ</w:t>
      </w:r>
      <w:r w:rsidR="00556176">
        <w:t>уются</w:t>
      </w:r>
      <w:r w:rsidRPr="00916CE7">
        <w:t xml:space="preserve"> мероприяти</w:t>
      </w:r>
      <w:r w:rsidR="00556176">
        <w:t>я</w:t>
      </w:r>
      <w:r w:rsidRPr="00916CE7">
        <w:t>, направленны</w:t>
      </w:r>
      <w:r w:rsidR="00556176">
        <w:t>е</w:t>
      </w:r>
      <w:r w:rsidRPr="00916CE7">
        <w:t xml:space="preserve"> на комплексное благоустройство территорий города, обустройство детских городков, в том числе установку новых объектов благоустройства по наказам избирателей, по итогам ежегодных конкурсов</w:t>
      </w:r>
      <w:r>
        <w:t>.</w:t>
      </w:r>
    </w:p>
    <w:p w:rsidR="00260717" w:rsidRPr="00916CE7" w:rsidRDefault="00260717" w:rsidP="00260717">
      <w:pPr>
        <w:ind w:firstLine="709"/>
        <w:jc w:val="both"/>
      </w:pPr>
      <w:r w:rsidRPr="00916CE7">
        <w:t xml:space="preserve">Также  выполняются мероприятия по благоустройству, укреплению материально-технической базы придомовой территории многоквартирного дома, признанного победителем ежегодного конкурса «Многоквартирный дом образцового содержания». </w:t>
      </w:r>
    </w:p>
    <w:p w:rsidR="00556176" w:rsidRPr="002442E9" w:rsidRDefault="00556176" w:rsidP="00556176">
      <w:pPr>
        <w:ind w:firstLine="708"/>
        <w:jc w:val="both"/>
      </w:pPr>
      <w:r w:rsidRPr="002442E9">
        <w:t xml:space="preserve">Информация о выполнении работ по благоустройству территорий города </w:t>
      </w:r>
      <w:r w:rsidRPr="00B609DE">
        <w:t>за 2016 год в</w:t>
      </w:r>
      <w:r w:rsidRPr="002442E9">
        <w:t xml:space="preserve"> разрезе мероприятий представлена в таблице </w:t>
      </w:r>
      <w:r>
        <w:t>1</w:t>
      </w:r>
      <w:r w:rsidRPr="002442E9">
        <w:t>.</w:t>
      </w:r>
    </w:p>
    <w:p w:rsidR="00556176" w:rsidRPr="00755663" w:rsidRDefault="00556176" w:rsidP="00556176">
      <w:pPr>
        <w:jc w:val="both"/>
        <w:rPr>
          <w:b/>
          <w:color w:val="FF0000"/>
        </w:rPr>
      </w:pPr>
    </w:p>
    <w:p w:rsidR="00556176" w:rsidRPr="00B77D31" w:rsidRDefault="00556176" w:rsidP="00556176">
      <w:pPr>
        <w:jc w:val="right"/>
      </w:pPr>
      <w:r>
        <w:t>т</w:t>
      </w:r>
      <w:r w:rsidRPr="00B77D31">
        <w:t>аблица</w:t>
      </w:r>
      <w:r>
        <w:t xml:space="preserve"> 1</w:t>
      </w:r>
      <w:r w:rsidRPr="00B77D31">
        <w:t xml:space="preserve"> </w:t>
      </w:r>
    </w:p>
    <w:p w:rsidR="00556176" w:rsidRPr="00B77D31" w:rsidRDefault="00556176" w:rsidP="00556176">
      <w:pPr>
        <w:jc w:val="center"/>
        <w:rPr>
          <w:b/>
        </w:rPr>
      </w:pPr>
      <w:r w:rsidRPr="00B77D31">
        <w:rPr>
          <w:b/>
        </w:rPr>
        <w:t>Информация о выполнении работ по благоустройству города</w:t>
      </w:r>
    </w:p>
    <w:p w:rsidR="00556176" w:rsidRPr="00B77D31" w:rsidRDefault="00556176" w:rsidP="00556176">
      <w:pPr>
        <w:ind w:firstLine="708"/>
        <w:jc w:val="center"/>
        <w:rPr>
          <w:b/>
        </w:rPr>
      </w:pPr>
      <w:r>
        <w:rPr>
          <w:b/>
        </w:rPr>
        <w:t>за</w:t>
      </w:r>
      <w:r w:rsidRPr="00B77D31">
        <w:rPr>
          <w:b/>
        </w:rPr>
        <w:t xml:space="preserve"> 2016 год</w:t>
      </w:r>
    </w:p>
    <w:p w:rsidR="00556176" w:rsidRPr="00755663" w:rsidRDefault="00556176" w:rsidP="00556176">
      <w:pPr>
        <w:jc w:val="center"/>
        <w:rPr>
          <w:b/>
          <w:color w:val="FF0000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544"/>
        <w:gridCol w:w="1984"/>
        <w:gridCol w:w="1843"/>
        <w:gridCol w:w="1418"/>
      </w:tblGrid>
      <w:tr w:rsidR="00556176" w:rsidRPr="00755663" w:rsidTr="0036749D">
        <w:trPr>
          <w:trHeight w:val="363"/>
        </w:trPr>
        <w:tc>
          <w:tcPr>
            <w:tcW w:w="724" w:type="dxa"/>
            <w:vAlign w:val="center"/>
          </w:tcPr>
          <w:p w:rsidR="00556176" w:rsidRPr="00CD7F6F" w:rsidRDefault="00556176" w:rsidP="0036749D">
            <w:pPr>
              <w:jc w:val="center"/>
              <w:rPr>
                <w:sz w:val="22"/>
                <w:szCs w:val="22"/>
              </w:rPr>
            </w:pPr>
            <w:r w:rsidRPr="00CD7F6F">
              <w:rPr>
                <w:sz w:val="22"/>
                <w:szCs w:val="22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6176" w:rsidRPr="00CD7F6F" w:rsidRDefault="00556176" w:rsidP="0036749D">
            <w:pPr>
              <w:jc w:val="center"/>
              <w:rPr>
                <w:sz w:val="22"/>
                <w:szCs w:val="22"/>
              </w:rPr>
            </w:pPr>
            <w:r w:rsidRPr="00CD7F6F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56176" w:rsidRPr="00CD7F6F" w:rsidRDefault="00556176" w:rsidP="0036749D">
            <w:pPr>
              <w:jc w:val="center"/>
              <w:rPr>
                <w:sz w:val="22"/>
                <w:szCs w:val="22"/>
              </w:rPr>
            </w:pPr>
            <w:r w:rsidRPr="00CD7F6F">
              <w:rPr>
                <w:sz w:val="22"/>
                <w:szCs w:val="22"/>
              </w:rPr>
              <w:t>Уточненный план на 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6176" w:rsidRPr="00CD7F6F" w:rsidRDefault="00E9180A" w:rsidP="00367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176" w:rsidRPr="00CD7F6F" w:rsidRDefault="00556176" w:rsidP="0036749D">
            <w:pPr>
              <w:jc w:val="center"/>
              <w:rPr>
                <w:sz w:val="22"/>
                <w:szCs w:val="22"/>
              </w:rPr>
            </w:pPr>
            <w:r w:rsidRPr="00CD7F6F">
              <w:rPr>
                <w:sz w:val="22"/>
                <w:szCs w:val="22"/>
              </w:rPr>
              <w:t>% исполнения к плану</w:t>
            </w:r>
          </w:p>
        </w:tc>
      </w:tr>
      <w:tr w:rsidR="00556176" w:rsidRPr="00755663" w:rsidTr="0036749D">
        <w:trPr>
          <w:trHeight w:val="363"/>
        </w:trPr>
        <w:tc>
          <w:tcPr>
            <w:tcW w:w="724" w:type="dxa"/>
            <w:vAlign w:val="center"/>
          </w:tcPr>
          <w:p w:rsidR="00556176" w:rsidRDefault="00556176" w:rsidP="00367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56176" w:rsidRPr="002D7A9C" w:rsidRDefault="00556176" w:rsidP="0036749D">
            <w:pPr>
              <w:rPr>
                <w:b/>
                <w:bCs/>
                <w:sz w:val="22"/>
                <w:szCs w:val="22"/>
              </w:rPr>
            </w:pPr>
            <w:r w:rsidRPr="002D7A9C">
              <w:rPr>
                <w:b/>
                <w:bCs/>
                <w:sz w:val="22"/>
                <w:szCs w:val="22"/>
              </w:rPr>
              <w:t>Мероприятие 1 «Выполнение работ по благоустройству города», 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56176" w:rsidRPr="0039159C" w:rsidRDefault="00556176" w:rsidP="0036749D">
            <w:pPr>
              <w:jc w:val="center"/>
              <w:rPr>
                <w:b/>
                <w:bCs/>
                <w:sz w:val="22"/>
                <w:szCs w:val="22"/>
              </w:rPr>
            </w:pPr>
            <w:r w:rsidRPr="0039159C">
              <w:rPr>
                <w:b/>
                <w:bCs/>
                <w:sz w:val="22"/>
                <w:szCs w:val="22"/>
              </w:rPr>
              <w:t>24 384 397,67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center"/>
              <w:rPr>
                <w:b/>
                <w:bCs/>
                <w:sz w:val="22"/>
                <w:szCs w:val="22"/>
              </w:rPr>
            </w:pPr>
            <w:r w:rsidRPr="0039159C">
              <w:rPr>
                <w:b/>
                <w:bCs/>
                <w:sz w:val="22"/>
                <w:szCs w:val="22"/>
              </w:rPr>
              <w:t>24 380 456,57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center"/>
              <w:rPr>
                <w:b/>
                <w:sz w:val="22"/>
                <w:szCs w:val="22"/>
              </w:rPr>
            </w:pPr>
            <w:r w:rsidRPr="0039159C">
              <w:rPr>
                <w:b/>
                <w:sz w:val="22"/>
                <w:szCs w:val="22"/>
              </w:rPr>
              <w:t>100,0</w:t>
            </w:r>
          </w:p>
        </w:tc>
      </w:tr>
      <w:tr w:rsidR="00556176" w:rsidRPr="00FD68EB" w:rsidTr="0036749D">
        <w:trPr>
          <w:trHeight w:val="431"/>
        </w:trPr>
        <w:tc>
          <w:tcPr>
            <w:tcW w:w="724" w:type="dxa"/>
            <w:vAlign w:val="center"/>
          </w:tcPr>
          <w:p w:rsidR="00556176" w:rsidRPr="00FD68EB" w:rsidRDefault="00556176" w:rsidP="00367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56176" w:rsidRPr="00FD68EB" w:rsidRDefault="00556176" w:rsidP="0036749D">
            <w:pPr>
              <w:rPr>
                <w:color w:val="000000"/>
              </w:rPr>
            </w:pPr>
            <w:r w:rsidRPr="00FD68EB">
              <w:rPr>
                <w:color w:val="000000"/>
              </w:rPr>
              <w:t>Установка детских городков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56176" w:rsidRPr="0039159C" w:rsidRDefault="00556176" w:rsidP="0036749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596 214,41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592 374,10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99,4</w:t>
            </w:r>
          </w:p>
        </w:tc>
      </w:tr>
      <w:tr w:rsidR="00556176" w:rsidRPr="00FD68EB" w:rsidTr="0036749D">
        <w:trPr>
          <w:trHeight w:val="550"/>
        </w:trPr>
        <w:tc>
          <w:tcPr>
            <w:tcW w:w="724" w:type="dxa"/>
            <w:vAlign w:val="center"/>
          </w:tcPr>
          <w:p w:rsidR="00556176" w:rsidRPr="00FD68EB" w:rsidRDefault="00556176" w:rsidP="00367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56176" w:rsidRPr="00FD68EB" w:rsidRDefault="00556176" w:rsidP="0036749D">
            <w:pPr>
              <w:rPr>
                <w:color w:val="000000"/>
              </w:rPr>
            </w:pPr>
            <w:r w:rsidRPr="00FD68EB">
              <w:rPr>
                <w:color w:val="000000"/>
              </w:rPr>
              <w:t>Расширение городского кладбища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56176" w:rsidRPr="0039159C" w:rsidRDefault="00556176" w:rsidP="0036749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1 049 482,00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1 049 381,33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56176" w:rsidRPr="00FD68EB" w:rsidTr="0036749D">
        <w:trPr>
          <w:trHeight w:val="302"/>
        </w:trPr>
        <w:tc>
          <w:tcPr>
            <w:tcW w:w="724" w:type="dxa"/>
            <w:vAlign w:val="center"/>
          </w:tcPr>
          <w:p w:rsidR="00556176" w:rsidRPr="00FD68EB" w:rsidRDefault="00556176" w:rsidP="00367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56176" w:rsidRPr="00FD68EB" w:rsidRDefault="00556176" w:rsidP="0036749D">
            <w:pPr>
              <w:rPr>
                <w:color w:val="000000"/>
              </w:rPr>
            </w:pPr>
            <w:r w:rsidRPr="00FD68EB">
              <w:rPr>
                <w:color w:val="000000"/>
              </w:rPr>
              <w:t>Благоустройство территории жилого дома по ул. Садовая, 3а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56176" w:rsidRPr="0039159C" w:rsidRDefault="00556176" w:rsidP="0036749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1 251 400,27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1 251 400,27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56176" w:rsidRPr="00FD68EB" w:rsidTr="0036749D">
        <w:trPr>
          <w:trHeight w:val="531"/>
        </w:trPr>
        <w:tc>
          <w:tcPr>
            <w:tcW w:w="724" w:type="dxa"/>
            <w:vAlign w:val="center"/>
          </w:tcPr>
          <w:p w:rsidR="00556176" w:rsidRPr="00FD68EB" w:rsidRDefault="00556176" w:rsidP="00367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6176" w:rsidRPr="00FD68EB" w:rsidRDefault="00556176" w:rsidP="0036749D">
            <w:pPr>
              <w:rPr>
                <w:color w:val="000000"/>
              </w:rPr>
            </w:pPr>
            <w:r w:rsidRPr="00FD68EB">
              <w:rPr>
                <w:color w:val="000000"/>
              </w:rPr>
              <w:t>Устройство тротуара по ул. Широкая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56176" w:rsidRPr="0039159C" w:rsidRDefault="00556176" w:rsidP="0036749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2 963 652,23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2 963 652,23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56176" w:rsidRPr="00FD68EB" w:rsidTr="0036749D">
        <w:trPr>
          <w:trHeight w:val="423"/>
        </w:trPr>
        <w:tc>
          <w:tcPr>
            <w:tcW w:w="724" w:type="dxa"/>
            <w:vAlign w:val="center"/>
          </w:tcPr>
          <w:p w:rsidR="00556176" w:rsidRPr="00FD68EB" w:rsidRDefault="00556176" w:rsidP="00367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6176" w:rsidRPr="00FD68EB" w:rsidRDefault="00556176" w:rsidP="0036749D">
            <w:pPr>
              <w:rPr>
                <w:color w:val="000000"/>
              </w:rPr>
            </w:pPr>
            <w:r w:rsidRPr="00FD68EB">
              <w:rPr>
                <w:color w:val="000000"/>
              </w:rPr>
              <w:t>Благоустройство по итогам конкурса «Многоквартирный дом образцового содержания»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56176" w:rsidRPr="0039159C" w:rsidRDefault="00556176" w:rsidP="0036749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197 071,18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197 071,18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56176" w:rsidRPr="00FD68EB" w:rsidTr="0036749D">
        <w:trPr>
          <w:trHeight w:val="423"/>
        </w:trPr>
        <w:tc>
          <w:tcPr>
            <w:tcW w:w="724" w:type="dxa"/>
            <w:vAlign w:val="center"/>
          </w:tcPr>
          <w:p w:rsidR="00556176" w:rsidRPr="00FD68EB" w:rsidRDefault="00556176" w:rsidP="00367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6176" w:rsidRPr="00FD68EB" w:rsidRDefault="00556176" w:rsidP="0036749D">
            <w:pPr>
              <w:rPr>
                <w:color w:val="000000"/>
              </w:rPr>
            </w:pPr>
            <w:r w:rsidRPr="00FD68EB">
              <w:rPr>
                <w:color w:val="000000"/>
              </w:rPr>
              <w:t>Благоустройство городских территорий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56176" w:rsidRPr="0039159C" w:rsidRDefault="00556176" w:rsidP="0036749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9159C">
              <w:rPr>
                <w:bCs/>
                <w:color w:val="000000"/>
                <w:sz w:val="22"/>
                <w:szCs w:val="22"/>
              </w:rPr>
              <w:t>9 187 956,90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right"/>
              <w:rPr>
                <w:color w:val="000000"/>
                <w:sz w:val="22"/>
                <w:szCs w:val="22"/>
              </w:rPr>
            </w:pPr>
            <w:r w:rsidRPr="0039159C">
              <w:rPr>
                <w:color w:val="000000"/>
                <w:sz w:val="22"/>
                <w:szCs w:val="22"/>
              </w:rPr>
              <w:t>9 187 956,90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center"/>
              <w:rPr>
                <w:color w:val="000000"/>
                <w:sz w:val="22"/>
                <w:szCs w:val="22"/>
              </w:rPr>
            </w:pPr>
            <w:r w:rsidRPr="0039159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56176" w:rsidRPr="00FD68EB" w:rsidTr="0036749D">
        <w:trPr>
          <w:trHeight w:val="423"/>
        </w:trPr>
        <w:tc>
          <w:tcPr>
            <w:tcW w:w="724" w:type="dxa"/>
            <w:vAlign w:val="center"/>
          </w:tcPr>
          <w:p w:rsidR="00556176" w:rsidRPr="00FD68EB" w:rsidRDefault="00556176" w:rsidP="00367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6176" w:rsidRPr="00FD68EB" w:rsidRDefault="00556176" w:rsidP="0036749D">
            <w:pPr>
              <w:rPr>
                <w:color w:val="000000"/>
              </w:rPr>
            </w:pPr>
            <w:r w:rsidRPr="00FD68EB">
              <w:rPr>
                <w:color w:val="000000"/>
              </w:rPr>
              <w:t>Исполнение наказов избирателей по благоустройству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56176" w:rsidRPr="0039159C" w:rsidRDefault="00556176" w:rsidP="0036749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9159C">
              <w:rPr>
                <w:bCs/>
                <w:color w:val="000000"/>
                <w:sz w:val="22"/>
                <w:szCs w:val="22"/>
              </w:rPr>
              <w:t>9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39159C">
              <w:rPr>
                <w:bCs/>
                <w:color w:val="000000"/>
                <w:sz w:val="22"/>
                <w:szCs w:val="22"/>
              </w:rPr>
              <w:t>138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9159C">
              <w:rPr>
                <w:bCs/>
                <w:color w:val="000000"/>
                <w:sz w:val="22"/>
                <w:szCs w:val="22"/>
              </w:rPr>
              <w:t>620,68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center"/>
              <w:rPr>
                <w:color w:val="000000"/>
                <w:sz w:val="22"/>
                <w:szCs w:val="22"/>
              </w:rPr>
            </w:pPr>
            <w:r w:rsidRPr="0039159C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39159C">
              <w:rPr>
                <w:color w:val="000000"/>
                <w:sz w:val="22"/>
                <w:szCs w:val="22"/>
              </w:rPr>
              <w:t>138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9159C">
              <w:rPr>
                <w:color w:val="000000"/>
                <w:sz w:val="22"/>
                <w:szCs w:val="22"/>
              </w:rPr>
              <w:t>620,56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176" w:rsidRPr="0039159C" w:rsidRDefault="00556176" w:rsidP="0036749D">
            <w:pPr>
              <w:jc w:val="center"/>
              <w:rPr>
                <w:color w:val="000000"/>
                <w:sz w:val="22"/>
                <w:szCs w:val="22"/>
              </w:rPr>
            </w:pPr>
            <w:r w:rsidRPr="0039159C">
              <w:rPr>
                <w:color w:val="000000"/>
                <w:sz w:val="22"/>
                <w:szCs w:val="22"/>
              </w:rPr>
              <w:t>100,0</w:t>
            </w:r>
          </w:p>
        </w:tc>
      </w:tr>
    </w:tbl>
    <w:p w:rsidR="00556176" w:rsidRPr="00755663" w:rsidRDefault="00556176" w:rsidP="00556176">
      <w:pPr>
        <w:pStyle w:val="a5"/>
        <w:ind w:left="0" w:firstLine="709"/>
        <w:jc w:val="both"/>
        <w:rPr>
          <w:color w:val="FF0000"/>
          <w:sz w:val="24"/>
          <w:szCs w:val="24"/>
        </w:rPr>
      </w:pPr>
    </w:p>
    <w:p w:rsidR="00556176" w:rsidRPr="00B609DE" w:rsidRDefault="00556176" w:rsidP="00556176">
      <w:pPr>
        <w:pStyle w:val="a5"/>
        <w:ind w:left="0" w:firstLine="709"/>
        <w:jc w:val="both"/>
        <w:rPr>
          <w:sz w:val="24"/>
          <w:szCs w:val="24"/>
        </w:rPr>
      </w:pPr>
      <w:r w:rsidRPr="00B609DE">
        <w:rPr>
          <w:sz w:val="24"/>
          <w:szCs w:val="24"/>
        </w:rPr>
        <w:t xml:space="preserve">Благоустройство территории жилого дома по ул. Садовая 3А </w:t>
      </w:r>
      <w:r>
        <w:rPr>
          <w:sz w:val="24"/>
          <w:szCs w:val="24"/>
        </w:rPr>
        <w:t xml:space="preserve">- </w:t>
      </w:r>
      <w:r w:rsidRPr="00B609DE">
        <w:rPr>
          <w:sz w:val="24"/>
          <w:szCs w:val="24"/>
        </w:rPr>
        <w:t>устройство проездов и озеленение.</w:t>
      </w:r>
      <w:r w:rsidRPr="00B609DE">
        <w:rPr>
          <w:color w:val="FF0000"/>
          <w:sz w:val="24"/>
          <w:szCs w:val="24"/>
        </w:rPr>
        <w:t xml:space="preserve"> </w:t>
      </w:r>
    </w:p>
    <w:p w:rsidR="00556176" w:rsidRPr="00B609DE" w:rsidRDefault="00556176" w:rsidP="00556176">
      <w:pPr>
        <w:ind w:firstLine="708"/>
        <w:jc w:val="both"/>
      </w:pPr>
      <w:r w:rsidRPr="00B609DE">
        <w:t>Благоустройство</w:t>
      </w:r>
      <w:r w:rsidR="00E9180A">
        <w:t xml:space="preserve"> городских</w:t>
      </w:r>
      <w:r w:rsidRPr="00B609DE">
        <w:t xml:space="preserve"> территорий: </w:t>
      </w:r>
    </w:p>
    <w:p w:rsidR="00556176" w:rsidRDefault="00556176" w:rsidP="00556176">
      <w:pPr>
        <w:pStyle w:val="a5"/>
        <w:numPr>
          <w:ilvl w:val="0"/>
          <w:numId w:val="1"/>
        </w:numPr>
        <w:tabs>
          <w:tab w:val="left" w:pos="1134"/>
        </w:tabs>
        <w:suppressAutoHyphens w:val="0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 благоустройству прилегающей территории жилого дома №6 по улице Газовиков выполнено устройство двух автомобильных стоянок;</w:t>
      </w:r>
    </w:p>
    <w:p w:rsidR="00556176" w:rsidRDefault="00556176" w:rsidP="00556176">
      <w:pPr>
        <w:pStyle w:val="a5"/>
        <w:numPr>
          <w:ilvl w:val="0"/>
          <w:numId w:val="1"/>
        </w:numPr>
        <w:tabs>
          <w:tab w:val="left" w:pos="1134"/>
        </w:tabs>
        <w:suppressAutoHyphens w:val="0"/>
        <w:ind w:left="0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 благоустройству прилегающей территории жилых домов №12, №14,№16 по улице Толстого и жилого дома №18 по улице Студенческая – отсыпка территории, устройство автомобильной стоянки и перенос детской площадки;</w:t>
      </w:r>
    </w:p>
    <w:p w:rsidR="00556176" w:rsidRDefault="00556176" w:rsidP="00556176">
      <w:pPr>
        <w:pStyle w:val="a5"/>
        <w:numPr>
          <w:ilvl w:val="0"/>
          <w:numId w:val="1"/>
        </w:numPr>
        <w:tabs>
          <w:tab w:val="left" w:pos="1134"/>
        </w:tabs>
        <w:suppressAutoHyphens w:val="0"/>
        <w:ind w:left="0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благоустройству прилегающей территории жилых домов по ул. Мира №8, №10,№18,№18/1, №18/2, №18/3 и МАДОУ "Детский сад комбинированного типа "Радуга", выполнено устройство автомобильно</w:t>
      </w:r>
      <w:r w:rsidR="00E9180A">
        <w:rPr>
          <w:sz w:val="24"/>
          <w:szCs w:val="24"/>
        </w:rPr>
        <w:t>й стоянки, тротуара, ограждений;</w:t>
      </w:r>
    </w:p>
    <w:p w:rsidR="00556176" w:rsidRPr="00B609DE" w:rsidRDefault="00556176" w:rsidP="00556176">
      <w:pPr>
        <w:ind w:firstLine="708"/>
        <w:jc w:val="both"/>
      </w:pPr>
      <w:r w:rsidRPr="00B609DE">
        <w:t xml:space="preserve">Устройство тротуара по ул. Широкая </w:t>
      </w:r>
      <w:r>
        <w:t xml:space="preserve">- </w:t>
      </w:r>
      <w:r w:rsidRPr="00B609DE">
        <w:t>выполнено устройство тротуара с двух сторон от ул. Никольской до ул</w:t>
      </w:r>
      <w:r w:rsidR="00E9180A">
        <w:t>. Бородинской из ж/б плит 3х1,5.</w:t>
      </w:r>
    </w:p>
    <w:p w:rsidR="00556176" w:rsidRDefault="00556176" w:rsidP="00556176">
      <w:pPr>
        <w:ind w:firstLine="709"/>
        <w:jc w:val="both"/>
      </w:pPr>
      <w:r w:rsidRPr="00B609DE">
        <w:t>Благоустройство по итогам конкурса «Многоквартирный дом образцового содержания» - в 2016 году победителю</w:t>
      </w:r>
      <w:r>
        <w:t xml:space="preserve"> конкурса в номинации жилой дом свыше 5 этажей ул. Студенческая д.16 (ТСЖ «Студент»), а также победителю конкурса в номинации жилой дом до 5 этажей  по улице Гастелло дом №15 (ТСЖ «Пионер») были выполнены работы по благоустройству дворовых территорий (ремонт ограждений, отмостки и прочее).</w:t>
      </w:r>
    </w:p>
    <w:p w:rsidR="00556176" w:rsidRPr="00FD68EB" w:rsidRDefault="00556176" w:rsidP="00556176">
      <w:pPr>
        <w:pStyle w:val="a5"/>
        <w:shd w:val="clear" w:color="auto" w:fill="FFFFFF"/>
        <w:tabs>
          <w:tab w:val="left" w:pos="851"/>
          <w:tab w:val="left" w:pos="1134"/>
          <w:tab w:val="left" w:pos="1560"/>
        </w:tabs>
        <w:ind w:left="0" w:firstLine="709"/>
        <w:jc w:val="both"/>
        <w:rPr>
          <w:color w:val="000000"/>
          <w:sz w:val="24"/>
          <w:szCs w:val="24"/>
        </w:rPr>
      </w:pPr>
      <w:r w:rsidRPr="00FD68EB">
        <w:rPr>
          <w:color w:val="000000"/>
          <w:sz w:val="24"/>
          <w:szCs w:val="24"/>
        </w:rPr>
        <w:t xml:space="preserve">В мае-июне </w:t>
      </w:r>
      <w:r>
        <w:rPr>
          <w:color w:val="000000"/>
          <w:sz w:val="24"/>
          <w:szCs w:val="24"/>
        </w:rPr>
        <w:t>2016 года д</w:t>
      </w:r>
      <w:r w:rsidRPr="00FD68EB">
        <w:rPr>
          <w:color w:val="000000"/>
          <w:sz w:val="24"/>
          <w:szCs w:val="24"/>
        </w:rPr>
        <w:t>епутаты Думы города Югорска с главой города произвели обход всех избирательных участков, были определены проблем</w:t>
      </w:r>
      <w:r>
        <w:rPr>
          <w:color w:val="000000"/>
          <w:sz w:val="24"/>
          <w:szCs w:val="24"/>
        </w:rPr>
        <w:t>ные участки</w:t>
      </w:r>
      <w:r w:rsidRPr="00FD68EB">
        <w:rPr>
          <w:color w:val="000000"/>
          <w:sz w:val="24"/>
          <w:szCs w:val="24"/>
        </w:rPr>
        <w:t xml:space="preserve">. В результате </w:t>
      </w:r>
      <w:r w:rsidR="00E9180A">
        <w:rPr>
          <w:color w:val="000000"/>
          <w:sz w:val="24"/>
          <w:szCs w:val="24"/>
        </w:rPr>
        <w:t>по мероприятию «</w:t>
      </w:r>
      <w:r w:rsidR="00E9180A" w:rsidRPr="00E9180A">
        <w:rPr>
          <w:color w:val="000000"/>
          <w:sz w:val="24"/>
          <w:szCs w:val="24"/>
        </w:rPr>
        <w:t>Исполнение наказов избирателей по благоустройству</w:t>
      </w:r>
      <w:r w:rsidR="00E9180A">
        <w:rPr>
          <w:color w:val="000000"/>
          <w:sz w:val="24"/>
          <w:szCs w:val="24"/>
        </w:rPr>
        <w:t>»</w:t>
      </w:r>
      <w:r w:rsidR="00E9180A" w:rsidRPr="00FD68EB">
        <w:rPr>
          <w:color w:val="000000"/>
          <w:sz w:val="24"/>
          <w:szCs w:val="24"/>
        </w:rPr>
        <w:t xml:space="preserve"> </w:t>
      </w:r>
      <w:r w:rsidRPr="00FD68EB">
        <w:rPr>
          <w:color w:val="000000"/>
          <w:sz w:val="24"/>
          <w:szCs w:val="24"/>
        </w:rPr>
        <w:t>были выполнены следующие работы: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Устройство тротуаров: по ул. Вавилова от ул. Менделеева до ул. Песчаная; по ул. Октябрьская от жилого дома №7 до кафе; по ул. Сахарова от ул. Цветной бульвар до ул. Магистральная; между жилыми домами №12 и №14 по ул. Мира; по ул. Ленина в торце жилого дома по ул. Ленина, 1; вдоль жилого дома по ул. Таежная,16; по ул. Таежная возле жилых домов № 18 и № 22А; от жилого дома № 8 до жилого дома №4 по ул. Таежная; в районе жилых домов по адресу ул. Спортивная №37 и ул. Спортивная №39; по ул. Транспортная (в торце дома № 24 по ул. Спортивная); по ул. Железнодорожная (у поста ГАИ)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ремонт крыльца МБОУ "Средняя общеобразовательная школа №6";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благоустройство территории в пер. Студенческий;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отсыпка песком ТП во дворе ж/д Садовая, 3А и Студенческая, 20;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отсыпка и грейдирование грунтовых дорог; в районе ж/д по ул. Гайдара №10-16, по ул. Первомайская;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выполнение работ по устройству автомобильных стоянок по ул. Декабристов; возле жилого дома №21 по ул. Магистральная; возле жилого дома №12 по ул. Таежная;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выполнение работ по устройству  проездов: вдоль жилого дома №8 по ул. Декабристов; к городской бане с устройством водоприемных колодцев; вдоль жилых домов № 4, 4а, 6а, 8 по ул. Попова;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устройство пандуса возле жилого дома №2 по ул. Газовиков;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устройство пешеходного перехода возле жилого дома №12 по ул. Толстого;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устройство ограждений: у МБОУ Лицея им. Г.Ф. </w:t>
      </w:r>
      <w:proofErr w:type="spellStart"/>
      <w:r>
        <w:t>Атякшева</w:t>
      </w:r>
      <w:proofErr w:type="spellEnd"/>
      <w:r>
        <w:t>; спортивной площадки по ул. Кирова, 10; детской площадки по ул. Железнодорожная, 33; у жилого дома ул. Мира,14;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установка МАФ на детских площадках возле жилого дома №17 по ул. Железнодорожная; между жилыми домами № 18/2 и 18/3 по ул. Мира; возле жилого дома №6 по ул. Попова;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установка перил у 2 подъезда жилого дома №11 по ул. Геологов;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отсыпка щебнем автомобильной стоянки возле жилого дома №16 по ул. Таежная;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устройство водоприемного колодца на перекрестке ул. Спортивная-Таежная;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установка остановочного павильона в пер. Северный;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устройство видеонаблюдения на мемориале </w:t>
      </w:r>
      <w:r w:rsidR="003A7A1B">
        <w:t>«</w:t>
      </w:r>
      <w:r>
        <w:t>Защитникам Отечества и первопроходцам земли Югорской</w:t>
      </w:r>
      <w:r w:rsidR="003A7A1B">
        <w:t>»</w:t>
      </w:r>
      <w:r>
        <w:t>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установка скамеек, урн;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отсыпка щебнем съездов на пересечении грунтовых дорог с дорогами с твердым покрытием;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установка тренажеров на спортивной площадке по ул. Садовая,32;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изготовление калитки у  «Прометея»;</w:t>
      </w:r>
    </w:p>
    <w:p w:rsidR="00556176" w:rsidRDefault="00556176" w:rsidP="0055617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установка дорожных знаков.</w:t>
      </w:r>
    </w:p>
    <w:p w:rsidR="00556176" w:rsidRPr="00556176" w:rsidRDefault="00556176" w:rsidP="00556176">
      <w:pPr>
        <w:ind w:firstLine="720"/>
        <w:jc w:val="both"/>
      </w:pPr>
      <w:r>
        <w:t>В 2016 году в рамках государственной программы Ханты-Мансийского автономного округа – Югры «</w:t>
      </w:r>
      <w:r w:rsidRPr="00DF5115">
        <w:t xml:space="preserve">Развитие жилищно-коммунального комплекса и повышение энергетической </w:t>
      </w:r>
      <w:r w:rsidRPr="00DF5115">
        <w:lastRenderedPageBreak/>
        <w:t>эффективности в Ханты-Мансийском автономном округе – Югре на 2016-2020 годы</w:t>
      </w:r>
      <w:r>
        <w:t xml:space="preserve">» были предоставлены средства для софинансирования расходов на благоустройство городских территорий на условиях 50 х 50 в сумме </w:t>
      </w:r>
      <w:r w:rsidRPr="00556176">
        <w:t>8 489 400,11 рублей.</w:t>
      </w:r>
    </w:p>
    <w:p w:rsidR="00F30164" w:rsidRPr="00E75646" w:rsidRDefault="00F30164" w:rsidP="00F30164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E75646">
        <w:rPr>
          <w:sz w:val="24"/>
          <w:szCs w:val="24"/>
        </w:rPr>
        <w:t>Результатами реализации мероприятия 1 в 2016 году стало выполнение следующего  целевого показателя:</w:t>
      </w:r>
    </w:p>
    <w:p w:rsidR="00F30164" w:rsidRPr="00E75646" w:rsidRDefault="002C0596" w:rsidP="002C0596">
      <w:pPr>
        <w:tabs>
          <w:tab w:val="left" w:pos="387"/>
        </w:tabs>
        <w:jc w:val="both"/>
        <w:rPr>
          <w:lang w:eastAsia="en-US"/>
        </w:rPr>
      </w:pPr>
      <w:r w:rsidRPr="00E75646">
        <w:rPr>
          <w:lang w:eastAsia="en-US"/>
        </w:rPr>
        <w:tab/>
        <w:t>1.У</w:t>
      </w:r>
      <w:r w:rsidR="00F30164" w:rsidRPr="00E75646">
        <w:rPr>
          <w:lang w:eastAsia="en-US"/>
        </w:rPr>
        <w:t xml:space="preserve">величение количества выполненных мероприятий  по благоустройству дворовых территорий, в </w:t>
      </w:r>
      <w:proofErr w:type="spellStart"/>
      <w:r w:rsidR="00F30164" w:rsidRPr="00E75646">
        <w:rPr>
          <w:lang w:eastAsia="en-US"/>
        </w:rPr>
        <w:t>т.ч</w:t>
      </w:r>
      <w:proofErr w:type="spellEnd"/>
      <w:r w:rsidR="00F30164" w:rsidRPr="00E75646">
        <w:rPr>
          <w:lang w:eastAsia="en-US"/>
        </w:rPr>
        <w:t xml:space="preserve">. по наказам избирателей с 3 до 30 ед. в 2020 году. </w:t>
      </w:r>
    </w:p>
    <w:p w:rsidR="00F30164" w:rsidRPr="006076AC" w:rsidRDefault="00F30164" w:rsidP="00F30164">
      <w:pPr>
        <w:tabs>
          <w:tab w:val="left" w:pos="387"/>
        </w:tabs>
        <w:ind w:firstLine="709"/>
        <w:jc w:val="both"/>
        <w:rPr>
          <w:color w:val="0000FF"/>
          <w:lang w:eastAsia="en-US"/>
        </w:rPr>
      </w:pPr>
      <w:r w:rsidRPr="006076AC">
        <w:rPr>
          <w:color w:val="0000FF"/>
          <w:lang w:eastAsia="en-US"/>
        </w:rPr>
        <w:t>В 2016 году удалось благоустроить 17 дворовых территорий.</w:t>
      </w:r>
    </w:p>
    <w:p w:rsidR="002E6187" w:rsidRDefault="002E6187" w:rsidP="00556176">
      <w:pPr>
        <w:ind w:firstLine="709"/>
        <w:jc w:val="both"/>
      </w:pPr>
    </w:p>
    <w:p w:rsidR="00556176" w:rsidRPr="00CD7F6F" w:rsidRDefault="00556176" w:rsidP="00E9180A">
      <w:pPr>
        <w:ind w:firstLine="709"/>
        <w:jc w:val="both"/>
        <w:rPr>
          <w:b/>
          <w:i/>
        </w:rPr>
      </w:pPr>
      <w:r>
        <w:rPr>
          <w:b/>
          <w:i/>
        </w:rPr>
        <w:t>Мероприятие</w:t>
      </w:r>
      <w:r w:rsidRPr="00CD7F6F">
        <w:rPr>
          <w:b/>
          <w:i/>
        </w:rPr>
        <w:t xml:space="preserve"> 2. «Содержание и текущий ремонт объектов б</w:t>
      </w:r>
      <w:r>
        <w:rPr>
          <w:b/>
          <w:i/>
        </w:rPr>
        <w:t>лагоустройства в городе Югорска</w:t>
      </w:r>
      <w:r w:rsidRPr="00CD7F6F">
        <w:rPr>
          <w:b/>
          <w:i/>
        </w:rPr>
        <w:t>».</w:t>
      </w:r>
    </w:p>
    <w:p w:rsidR="003A7A1B" w:rsidRPr="00E9180A" w:rsidRDefault="003A7A1B" w:rsidP="003A7A1B">
      <w:pPr>
        <w:ind w:firstLine="709"/>
        <w:jc w:val="both"/>
      </w:pPr>
      <w:r w:rsidRPr="00E9180A">
        <w:t xml:space="preserve">В 2016 году, в рамках муниципальной программы «Благоустройство города Югорска на 2014-2020 годы», работы по содержанию объектов благоустройства были выполнены на сумму </w:t>
      </w:r>
      <w:r w:rsidRPr="00E9180A">
        <w:rPr>
          <w:b/>
        </w:rPr>
        <w:t>62 445 326,23</w:t>
      </w:r>
      <w:r w:rsidRPr="00E9180A">
        <w:t xml:space="preserve"> рублей, или</w:t>
      </w:r>
      <w:r w:rsidRPr="00E9180A">
        <w:rPr>
          <w:b/>
        </w:rPr>
        <w:t xml:space="preserve"> 99,9%.</w:t>
      </w:r>
      <w:r w:rsidRPr="00E9180A">
        <w:t xml:space="preserve"> На данное мероприятие было потрачено средств местного бюджета на сумму 62 123 826,34  рублей, что составило 99,9% от плана, средств окружного бюджета 321 499,89 рублей, что составило 100,0% от плана,  все муниципальные контракты исполнены</w:t>
      </w:r>
      <w:r w:rsidR="00EE1856">
        <w:t xml:space="preserve"> (таблица 2)</w:t>
      </w:r>
      <w:r w:rsidRPr="00E9180A">
        <w:t xml:space="preserve">. </w:t>
      </w:r>
    </w:p>
    <w:p w:rsidR="00556176" w:rsidRDefault="00EE1856" w:rsidP="00EE1856">
      <w:pPr>
        <w:ind w:firstLine="709"/>
        <w:jc w:val="right"/>
        <w:rPr>
          <w:bCs/>
          <w:iCs/>
        </w:rPr>
      </w:pPr>
      <w:r>
        <w:rPr>
          <w:bCs/>
          <w:iCs/>
        </w:rPr>
        <w:t>т</w:t>
      </w:r>
      <w:r w:rsidRPr="00EE1856">
        <w:rPr>
          <w:bCs/>
          <w:iCs/>
        </w:rPr>
        <w:t>аблица 2</w:t>
      </w:r>
    </w:p>
    <w:p w:rsidR="00EE1856" w:rsidRPr="00EE1856" w:rsidRDefault="00EE1856" w:rsidP="00EE1856">
      <w:pPr>
        <w:ind w:firstLine="709"/>
        <w:jc w:val="right"/>
        <w:rPr>
          <w:bCs/>
          <w:iCs/>
        </w:rPr>
      </w:pPr>
    </w:p>
    <w:p w:rsidR="00556176" w:rsidRPr="00CD7F6F" w:rsidRDefault="00556176" w:rsidP="00556176">
      <w:pPr>
        <w:ind w:firstLine="709"/>
        <w:jc w:val="center"/>
        <w:rPr>
          <w:b/>
        </w:rPr>
      </w:pPr>
      <w:r w:rsidRPr="00CD7F6F">
        <w:rPr>
          <w:b/>
        </w:rPr>
        <w:t xml:space="preserve">Анализ исполнения расходов мероприятия 2 «Содержание и текущий ремонт объектов благоустройства в городе Югорска» </w:t>
      </w:r>
    </w:p>
    <w:p w:rsidR="00556176" w:rsidRPr="00CD7F6F" w:rsidRDefault="00556176" w:rsidP="00556176">
      <w:pPr>
        <w:ind w:firstLine="709"/>
        <w:jc w:val="center"/>
        <w:rPr>
          <w:b/>
        </w:rPr>
      </w:pPr>
      <w:r w:rsidRPr="00CD7F6F">
        <w:rPr>
          <w:b/>
        </w:rPr>
        <w:t>за 2016 год</w:t>
      </w:r>
    </w:p>
    <w:p w:rsidR="00556176" w:rsidRDefault="00556176" w:rsidP="00556176">
      <w:pPr>
        <w:ind w:left="7079" w:firstLine="709"/>
        <w:jc w:val="center"/>
        <w:rPr>
          <w:bCs/>
          <w:iCs/>
        </w:rPr>
      </w:pPr>
      <w:r w:rsidRPr="00CD7F6F">
        <w:rPr>
          <w:bCs/>
          <w:iCs/>
        </w:rPr>
        <w:t>рублей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3"/>
        <w:gridCol w:w="4180"/>
        <w:gridCol w:w="1798"/>
        <w:gridCol w:w="1701"/>
        <w:gridCol w:w="1321"/>
      </w:tblGrid>
      <w:tr w:rsidR="003A7A1B" w:rsidRPr="00B94058" w:rsidTr="007B7413">
        <w:trPr>
          <w:trHeight w:val="645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№ п/п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Уточненный план на  год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7A1B" w:rsidRPr="00E9180A" w:rsidRDefault="00E9180A" w:rsidP="00E9180A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Исполнено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% исполнения к плану</w:t>
            </w:r>
          </w:p>
        </w:tc>
      </w:tr>
      <w:tr w:rsidR="003A7A1B" w:rsidRPr="00B94058" w:rsidTr="007B7413">
        <w:trPr>
          <w:trHeight w:val="645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Мероприятие 2 «Содержание и текущий ремонт объектов благоустройства в городе Югорске»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7A1B" w:rsidRPr="00E9180A" w:rsidRDefault="003A7A1B" w:rsidP="007B7413">
            <w:pPr>
              <w:jc w:val="center"/>
              <w:rPr>
                <w:b/>
                <w:sz w:val="22"/>
                <w:szCs w:val="22"/>
              </w:rPr>
            </w:pPr>
            <w:r w:rsidRPr="00E9180A">
              <w:rPr>
                <w:b/>
                <w:sz w:val="22"/>
                <w:szCs w:val="22"/>
              </w:rPr>
              <w:t>62 491 035,16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7A1B" w:rsidRPr="00E9180A" w:rsidRDefault="003A7A1B" w:rsidP="007B7413">
            <w:pPr>
              <w:jc w:val="center"/>
              <w:rPr>
                <w:b/>
                <w:sz w:val="22"/>
                <w:szCs w:val="22"/>
              </w:rPr>
            </w:pPr>
            <w:r w:rsidRPr="00E9180A">
              <w:rPr>
                <w:b/>
                <w:sz w:val="22"/>
                <w:szCs w:val="22"/>
              </w:rPr>
              <w:t>62 445 326,23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99,9</w:t>
            </w:r>
          </w:p>
        </w:tc>
      </w:tr>
      <w:tr w:rsidR="003A7A1B" w:rsidRPr="00B94058" w:rsidTr="007B7413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Освещение улиц города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23 289 892,31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23 289 892,31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 xml:space="preserve">уличное освещение- поставка </w:t>
            </w:r>
            <w:proofErr w:type="spellStart"/>
            <w:r w:rsidRPr="00E9180A">
              <w:rPr>
                <w:sz w:val="22"/>
                <w:szCs w:val="22"/>
              </w:rPr>
              <w:t>эл.энергии</w:t>
            </w:r>
            <w:proofErr w:type="spellEnd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15 584 892,31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15 584 892,31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уличное освещение-содержание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7 705 000,00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7 705 000,00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Озеленение города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15 271 672,71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15 271 672,71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Содержание городского кладбища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1 637 980,00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1 637 980,00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Содержание памятника-мемориала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1 255 593,54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1 255 593,54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Содержание подземного перехода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716 906,00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686 912,16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95,8</w:t>
            </w:r>
          </w:p>
        </w:tc>
      </w:tr>
      <w:tr w:rsidR="003A7A1B" w:rsidRPr="00B94058" w:rsidTr="007B7413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Содержание городских площадей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5 130 197,98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5 128 197,94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Содержание городского пруда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2 072 000,00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2 072 000,00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435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Содержание и ремонт детских и спортивных площадок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3 000 000,00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435"/>
        </w:trPr>
        <w:tc>
          <w:tcPr>
            <w:tcW w:w="5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Содержание и ремонт детских и спортивных площадок (</w:t>
            </w:r>
            <w:proofErr w:type="spellStart"/>
            <w:r w:rsidRPr="00E9180A">
              <w:rPr>
                <w:sz w:val="22"/>
                <w:szCs w:val="22"/>
              </w:rPr>
              <w:t>софин</w:t>
            </w:r>
            <w:proofErr w:type="spellEnd"/>
            <w:r w:rsidRPr="00E9180A">
              <w:rPr>
                <w:sz w:val="22"/>
                <w:szCs w:val="22"/>
              </w:rPr>
              <w:t>. - МБ)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321 499,89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321 499,89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435"/>
        </w:trPr>
        <w:tc>
          <w:tcPr>
            <w:tcW w:w="5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Содержание и ремонт детских и спортивных площадок (ОБ)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321 499,89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321 499,89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37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Содержание пожарных водоемов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316 000,00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316 000,00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Содержание пожарных гидрантов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1 280 000,00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1 280 000,00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Содержание малых архитектурных форм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746 903,17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746 903,08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13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Содержание автобусных остановок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752 000,00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738 766,72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98,2</w:t>
            </w:r>
          </w:p>
        </w:tc>
      </w:tr>
      <w:tr w:rsidR="003A7A1B" w:rsidRPr="00B94058" w:rsidTr="007B7413">
        <w:trPr>
          <w:trHeight w:val="45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Содержание контейнерных площадок (</w:t>
            </w:r>
            <w:proofErr w:type="spellStart"/>
            <w:r w:rsidRPr="00E9180A">
              <w:rPr>
                <w:sz w:val="22"/>
                <w:szCs w:val="22"/>
              </w:rPr>
              <w:t>ул.Газовиков</w:t>
            </w:r>
            <w:proofErr w:type="spellEnd"/>
            <w:r w:rsidRPr="00E9180A">
              <w:rPr>
                <w:sz w:val="22"/>
                <w:szCs w:val="22"/>
              </w:rPr>
              <w:t xml:space="preserve">, </w:t>
            </w:r>
            <w:proofErr w:type="spellStart"/>
            <w:r w:rsidRPr="00E9180A">
              <w:rPr>
                <w:sz w:val="22"/>
                <w:szCs w:val="22"/>
              </w:rPr>
              <w:t>ул.Кольцевая</w:t>
            </w:r>
            <w:proofErr w:type="spellEnd"/>
            <w:r w:rsidRPr="00E9180A">
              <w:rPr>
                <w:sz w:val="22"/>
                <w:szCs w:val="22"/>
              </w:rPr>
              <w:t>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2 777 000,00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2 777 000,00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Снос ветхих строений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1 894 889,67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1 894 888,35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Подготовка города к Новому году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1 252 000,00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1 251 519,64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  <w:tr w:rsidR="003A7A1B" w:rsidRPr="00B94058" w:rsidTr="007B7413">
        <w:trPr>
          <w:trHeight w:val="420"/>
        </w:trPr>
        <w:tc>
          <w:tcPr>
            <w:tcW w:w="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Содержание скульптурно-декоративных композиций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b/>
                <w:bCs/>
                <w:sz w:val="22"/>
                <w:szCs w:val="22"/>
              </w:rPr>
            </w:pPr>
            <w:r w:rsidRPr="00E9180A">
              <w:rPr>
                <w:b/>
                <w:bCs/>
                <w:sz w:val="22"/>
                <w:szCs w:val="22"/>
              </w:rPr>
              <w:t>455 000,00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right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455 000,00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B" w:rsidRPr="00E9180A" w:rsidRDefault="003A7A1B" w:rsidP="007B7413">
            <w:pPr>
              <w:jc w:val="center"/>
              <w:rPr>
                <w:sz w:val="22"/>
                <w:szCs w:val="22"/>
              </w:rPr>
            </w:pPr>
            <w:r w:rsidRPr="00E9180A">
              <w:rPr>
                <w:sz w:val="22"/>
                <w:szCs w:val="22"/>
              </w:rPr>
              <w:t>100,0</w:t>
            </w:r>
          </w:p>
        </w:tc>
      </w:tr>
    </w:tbl>
    <w:p w:rsidR="006076AC" w:rsidRPr="007322A9" w:rsidRDefault="006076AC" w:rsidP="006076AC">
      <w:pPr>
        <w:ind w:firstLine="709"/>
        <w:jc w:val="both"/>
      </w:pPr>
      <w:r w:rsidRPr="007322A9">
        <w:t>В течение  201</w:t>
      </w:r>
      <w:r>
        <w:t>6</w:t>
      </w:r>
      <w:r w:rsidRPr="007322A9">
        <w:t xml:space="preserve"> года проведены следующие работы по объектам благоустройства города:</w:t>
      </w:r>
    </w:p>
    <w:p w:rsidR="006076AC" w:rsidRPr="0035400B" w:rsidRDefault="006076AC" w:rsidP="006076AC">
      <w:pPr>
        <w:ind w:firstLine="709"/>
        <w:jc w:val="both"/>
        <w:rPr>
          <w:b/>
        </w:rPr>
      </w:pPr>
      <w:r w:rsidRPr="0035400B">
        <w:rPr>
          <w:b/>
        </w:rPr>
        <w:t>1. Освещение города</w:t>
      </w:r>
    </w:p>
    <w:p w:rsidR="006076AC" w:rsidRPr="0035400B" w:rsidRDefault="006076AC" w:rsidP="006076AC">
      <w:pPr>
        <w:ind w:firstLine="709"/>
        <w:jc w:val="both"/>
      </w:pPr>
      <w:r w:rsidRPr="0035400B">
        <w:t xml:space="preserve">Протяженность наружного и кабельного освещения города составляет </w:t>
      </w:r>
      <w:r w:rsidRPr="006076AC">
        <w:rPr>
          <w:color w:val="0000FF"/>
        </w:rPr>
        <w:t>147,134</w:t>
      </w:r>
      <w:r w:rsidRPr="006076AC">
        <w:rPr>
          <w:color w:val="0000FF"/>
          <w:sz w:val="32"/>
          <w:szCs w:val="32"/>
        </w:rPr>
        <w:t xml:space="preserve"> </w:t>
      </w:r>
      <w:r w:rsidRPr="0035400B">
        <w:t xml:space="preserve">км. Количество светильников, установленных на улицах города, составляет </w:t>
      </w:r>
      <w:r w:rsidRPr="006076AC">
        <w:rPr>
          <w:color w:val="0000FF"/>
        </w:rPr>
        <w:t xml:space="preserve">4 661 </w:t>
      </w:r>
      <w:r w:rsidRPr="0035400B">
        <w:t xml:space="preserve">единицы. Плата за потребленную электрическую энергию определяется по данным </w:t>
      </w:r>
      <w:r w:rsidRPr="006076AC">
        <w:rPr>
          <w:color w:val="0000FF"/>
        </w:rPr>
        <w:t>82</w:t>
      </w:r>
      <w:r w:rsidRPr="0035400B">
        <w:t xml:space="preserve"> приборов учета  потребления электроэнергии, по которым ежемесячно снимаются показания. Утвержден график включения и выключения уличного освещения.  </w:t>
      </w:r>
    </w:p>
    <w:p w:rsidR="006076AC" w:rsidRPr="0035400B" w:rsidRDefault="006076AC" w:rsidP="006076AC">
      <w:pPr>
        <w:ind w:firstLine="709"/>
        <w:jc w:val="both"/>
      </w:pPr>
      <w:r w:rsidRPr="003348C2">
        <w:t xml:space="preserve">Проведена оплата за потребленную электроэнергию </w:t>
      </w:r>
      <w:r w:rsidR="00273EE7">
        <w:t xml:space="preserve">за январь-ноябрь 2016г. </w:t>
      </w:r>
      <w:r w:rsidRPr="003348C2">
        <w:t>в количестве</w:t>
      </w:r>
      <w:r w:rsidRPr="00401730">
        <w:rPr>
          <w:color w:val="7030A0"/>
        </w:rPr>
        <w:t xml:space="preserve">  – </w:t>
      </w:r>
      <w:r w:rsidR="00273EE7" w:rsidRPr="00273EE7">
        <w:rPr>
          <w:color w:val="7030A0"/>
        </w:rPr>
        <w:t>2 842 840</w:t>
      </w:r>
      <w:r w:rsidRPr="00273EE7">
        <w:rPr>
          <w:color w:val="7030A0"/>
        </w:rPr>
        <w:t xml:space="preserve"> </w:t>
      </w:r>
      <w:r w:rsidRPr="003348C2">
        <w:t>кВт./ч</w:t>
      </w:r>
      <w:r w:rsidRPr="00C9563B">
        <w:rPr>
          <w:color w:val="FF0000"/>
        </w:rPr>
        <w:t>.</w:t>
      </w:r>
      <w:r w:rsidR="00273EE7">
        <w:rPr>
          <w:color w:val="FF0000"/>
        </w:rPr>
        <w:t xml:space="preserve">, </w:t>
      </w:r>
      <w:r w:rsidR="00273EE7" w:rsidRPr="00273EE7">
        <w:t xml:space="preserve">а также </w:t>
      </w:r>
      <w:r w:rsidR="00273EE7" w:rsidRPr="00273EE7">
        <w:rPr>
          <w:color w:val="0000FF"/>
        </w:rPr>
        <w:t>2 919 698,18</w:t>
      </w:r>
      <w:r w:rsidR="00273EE7" w:rsidRPr="00273EE7">
        <w:t xml:space="preserve"> руб. – оплачена </w:t>
      </w:r>
      <w:proofErr w:type="spellStart"/>
      <w:r w:rsidR="00273EE7" w:rsidRPr="00273EE7">
        <w:t>эл.энергия</w:t>
      </w:r>
      <w:proofErr w:type="spellEnd"/>
      <w:r w:rsidR="00273EE7" w:rsidRPr="00273EE7">
        <w:t xml:space="preserve"> за декабрь 2015 года.</w:t>
      </w:r>
      <w:r w:rsidRPr="00C9563B">
        <w:rPr>
          <w:color w:val="FF0000"/>
        </w:rPr>
        <w:t xml:space="preserve"> </w:t>
      </w:r>
      <w:r w:rsidRPr="0035400B">
        <w:t>В счёт содержания проводилось содержание воздушных и кабельных линий электроосвещения: замена светильников, счетчиков, кабеля и прочее.</w:t>
      </w:r>
    </w:p>
    <w:p w:rsidR="006076AC" w:rsidRPr="002B7FBC" w:rsidRDefault="006076AC" w:rsidP="006076AC">
      <w:pPr>
        <w:suppressAutoHyphens/>
        <w:ind w:firstLine="708"/>
        <w:jc w:val="both"/>
        <w:rPr>
          <w:b/>
        </w:rPr>
      </w:pPr>
      <w:r w:rsidRPr="002B7FBC">
        <w:rPr>
          <w:b/>
        </w:rPr>
        <w:t>2.Озеленение города. 3. Озеленение сквера</w:t>
      </w:r>
    </w:p>
    <w:p w:rsidR="006076AC" w:rsidRPr="002B7FBC" w:rsidRDefault="006076AC" w:rsidP="006076AC">
      <w:pPr>
        <w:ind w:firstLine="708"/>
        <w:jc w:val="both"/>
      </w:pPr>
      <w:r w:rsidRPr="002B7FBC">
        <w:t xml:space="preserve">Работы по озеленению проводились согласно плану озеленения города в рамках бюджетного финансирования. Были выполнены следующие работы: посадка и уход за </w:t>
      </w:r>
      <w:r w:rsidRPr="00273EE7">
        <w:rPr>
          <w:color w:val="0000FF"/>
        </w:rPr>
        <w:t xml:space="preserve">213 </w:t>
      </w:r>
      <w:r w:rsidRPr="002B7FBC">
        <w:t xml:space="preserve">тыс. корней однолетней и многолетней рассады цветов на городских территориях.  Уход за газонами (рыхление, полив, подкормка, уборка мусора, частичный подсев газонной травы, подсыпка плодородного грунта) на городских территориях – </w:t>
      </w:r>
      <w:r w:rsidRPr="00F30164">
        <w:rPr>
          <w:color w:val="0000FF"/>
        </w:rPr>
        <w:t>1</w:t>
      </w:r>
      <w:r w:rsidR="00F30164" w:rsidRPr="00F30164">
        <w:rPr>
          <w:color w:val="0000FF"/>
        </w:rPr>
        <w:t>85</w:t>
      </w:r>
      <w:r w:rsidR="00AE7F91">
        <w:rPr>
          <w:color w:val="0000FF"/>
        </w:rPr>
        <w:t xml:space="preserve"> </w:t>
      </w:r>
      <w:bookmarkStart w:id="0" w:name="_GoBack"/>
      <w:bookmarkEnd w:id="0"/>
      <w:r w:rsidR="00F30164" w:rsidRPr="00F30164">
        <w:rPr>
          <w:color w:val="0000FF"/>
        </w:rPr>
        <w:t>286</w:t>
      </w:r>
      <w:r w:rsidRPr="00F30164">
        <w:rPr>
          <w:color w:val="0000FF"/>
        </w:rPr>
        <w:t xml:space="preserve">,0 </w:t>
      </w:r>
      <w:proofErr w:type="spellStart"/>
      <w:r w:rsidRPr="002B7FBC">
        <w:t>кв.м</w:t>
      </w:r>
      <w:proofErr w:type="spellEnd"/>
      <w:r w:rsidRPr="002B7FBC">
        <w:t xml:space="preserve">. Выполнены работ по восстановлению газонов в городе площадью </w:t>
      </w:r>
      <w:r w:rsidR="00273EE7" w:rsidRPr="00273EE7">
        <w:rPr>
          <w:color w:val="0000FF"/>
        </w:rPr>
        <w:t>1</w:t>
      </w:r>
      <w:r w:rsidRPr="00273EE7">
        <w:rPr>
          <w:color w:val="0000FF"/>
        </w:rPr>
        <w:t xml:space="preserve">400 </w:t>
      </w:r>
      <w:proofErr w:type="spellStart"/>
      <w:r w:rsidRPr="002B7FBC">
        <w:t>кв.м</w:t>
      </w:r>
      <w:proofErr w:type="spellEnd"/>
      <w:r w:rsidRPr="002B7FBC">
        <w:t>. В перечень выполняемых работ входит: подготовка основания для газона, планировка площади, полное удаление старой травы, прополка и рыхление, завоз и подсыпка плодородного грунта, рыхление и подсев семян, прикатывание ручным катком. Также на протяжении летнего периода производился скос травы по всей площади городских газонов и два раза за сезон на газонах по внутридомовым территориям.  Кроме того, осуществлялся уход за 182 деревьями и кустарниками, выполнена подготовка их к зиме - укрытие неткаными материалами и деревянными ограждениями. Осуществлялся уход за альпийскими горками. Работы по озеленению города выполнялись согласно утвержденному плану и заключенным контрактам.</w:t>
      </w:r>
    </w:p>
    <w:p w:rsidR="006076AC" w:rsidRPr="00484E02" w:rsidRDefault="006076AC" w:rsidP="006076AC">
      <w:pPr>
        <w:ind w:firstLine="708"/>
        <w:jc w:val="both"/>
        <w:rPr>
          <w:b/>
        </w:rPr>
      </w:pPr>
      <w:r w:rsidRPr="00484E02">
        <w:rPr>
          <w:b/>
        </w:rPr>
        <w:t>4.Содержание мест захоронения (городских кладбищ)</w:t>
      </w:r>
    </w:p>
    <w:p w:rsidR="006076AC" w:rsidRPr="00E86864" w:rsidRDefault="006076AC" w:rsidP="006076AC">
      <w:pPr>
        <w:ind w:firstLine="708"/>
        <w:jc w:val="both"/>
        <w:rPr>
          <w:b/>
        </w:rPr>
      </w:pPr>
      <w:r w:rsidRPr="00484E02">
        <w:t>Содержание городского кладбища осуществляется согласно заключенному контракту,  из них: летнее содержание, зимнее содержание, а также работы по факту выполненных работ,</w:t>
      </w:r>
      <w:r w:rsidRPr="00401730">
        <w:rPr>
          <w:color w:val="7030A0"/>
        </w:rPr>
        <w:t xml:space="preserve"> </w:t>
      </w:r>
      <w:r w:rsidRPr="0035400B">
        <w:t xml:space="preserve">куда входят работы по оказанию услуг по перевозке криминальных трупов, захоронению безродных - за фактически выполненные объемы согласно утвержденной калькуляции в пределах, предусмотренных в бюджете средств на содержание городских </w:t>
      </w:r>
      <w:r w:rsidR="00E86864">
        <w:t>кладбищ. В</w:t>
      </w:r>
      <w:r w:rsidRPr="00273EE7">
        <w:rPr>
          <w:color w:val="FF0000"/>
        </w:rPr>
        <w:t xml:space="preserve"> </w:t>
      </w:r>
      <w:r w:rsidRPr="00E86864">
        <w:t>201</w:t>
      </w:r>
      <w:r w:rsidR="00E86864" w:rsidRPr="00E86864">
        <w:t>6</w:t>
      </w:r>
      <w:r w:rsidRPr="00E86864">
        <w:t xml:space="preserve"> году захоронено </w:t>
      </w:r>
      <w:r w:rsidR="00E86864" w:rsidRPr="00E86864">
        <w:t>6 безродных.</w:t>
      </w:r>
      <w:r w:rsidR="00273EE7" w:rsidRPr="00E86864">
        <w:t xml:space="preserve"> </w:t>
      </w:r>
    </w:p>
    <w:p w:rsidR="006076AC" w:rsidRPr="00484E02" w:rsidRDefault="006076AC" w:rsidP="006076AC">
      <w:pPr>
        <w:ind w:firstLine="708"/>
        <w:jc w:val="both"/>
      </w:pPr>
      <w:r w:rsidRPr="00EE1856">
        <w:rPr>
          <w:color w:val="0000FF"/>
        </w:rPr>
        <w:t>Общая площадь городских кладбищ составляет 14,1 га, площадь старого кладбища -2,0 га, площадь нового кладбища – 12,1 га.</w:t>
      </w:r>
      <w:r w:rsidRPr="00484E02">
        <w:t xml:space="preserve"> На территории старого кладбища  в течение летнего периода проводились работы по санитарной вырубке аварийных деревьев и уборке молодняка. При благоустройстве проведены работы по уборке мусора, старых венков и надгробий, скосу травы. Производилась уборка и правка могил на новом кладбище, уборка и вывозка мусора, грейдирование дорог для проезда автотранспорта, ремонт административного </w:t>
      </w:r>
      <w:r w:rsidRPr="003348C2">
        <w:t>домика.</w:t>
      </w:r>
      <w:r w:rsidRPr="00DE60C9">
        <w:rPr>
          <w:color w:val="FF0000"/>
        </w:rPr>
        <w:t xml:space="preserve"> </w:t>
      </w:r>
      <w:r w:rsidRPr="00484E02">
        <w:t xml:space="preserve">Проведены доп. работы по отсыпке песком старого и нового кладбища. </w:t>
      </w:r>
    </w:p>
    <w:p w:rsidR="006076AC" w:rsidRPr="00484E02" w:rsidRDefault="006076AC" w:rsidP="006076AC">
      <w:pPr>
        <w:ind w:firstLine="709"/>
        <w:jc w:val="both"/>
        <w:rPr>
          <w:b/>
        </w:rPr>
      </w:pPr>
      <w:r w:rsidRPr="00484E02">
        <w:rPr>
          <w:b/>
        </w:rPr>
        <w:t>5.Содержание памятника-мемориала</w:t>
      </w:r>
    </w:p>
    <w:p w:rsidR="006076AC" w:rsidRPr="00EE1856" w:rsidRDefault="006076AC" w:rsidP="006076AC">
      <w:pPr>
        <w:ind w:firstLine="709"/>
        <w:jc w:val="both"/>
      </w:pPr>
      <w:r w:rsidRPr="00484E02">
        <w:t xml:space="preserve">В течение </w:t>
      </w:r>
      <w:r w:rsidRPr="00273EE7">
        <w:rPr>
          <w:color w:val="0000FF"/>
        </w:rPr>
        <w:t>201</w:t>
      </w:r>
      <w:r w:rsidR="00273EE7" w:rsidRPr="00273EE7">
        <w:rPr>
          <w:color w:val="0000FF"/>
        </w:rPr>
        <w:t>6</w:t>
      </w:r>
      <w:r w:rsidRPr="00273EE7">
        <w:rPr>
          <w:color w:val="0000FF"/>
        </w:rPr>
        <w:t xml:space="preserve"> </w:t>
      </w:r>
      <w:r w:rsidRPr="00484E02">
        <w:t xml:space="preserve">года проводилась круглогодичная плановая уборка территории мемориала (с вывозом снега в зимний период), на прилегающей территории площадью </w:t>
      </w:r>
      <w:r w:rsidRPr="00511CFC">
        <w:rPr>
          <w:color w:val="0000FF"/>
        </w:rPr>
        <w:t>6</w:t>
      </w:r>
      <w:r w:rsidR="00EE1856">
        <w:rPr>
          <w:color w:val="0000FF"/>
        </w:rPr>
        <w:t>700</w:t>
      </w:r>
      <w:r w:rsidRPr="00484E02">
        <w:t xml:space="preserve"> </w:t>
      </w:r>
      <w:proofErr w:type="spellStart"/>
      <w:r w:rsidRPr="00484E02">
        <w:t>кв.м</w:t>
      </w:r>
      <w:proofErr w:type="spellEnd"/>
      <w:r w:rsidRPr="00484E02">
        <w:t xml:space="preserve">, обслуживание  горелки вечного огня, оплата за потребляемый газ, уход за газонами и цветниками на площади </w:t>
      </w:r>
      <w:r w:rsidRPr="00EE1856">
        <w:rPr>
          <w:color w:val="0000FF"/>
        </w:rPr>
        <w:t xml:space="preserve">540 </w:t>
      </w:r>
      <w:proofErr w:type="spellStart"/>
      <w:r w:rsidRPr="00EE1856">
        <w:rPr>
          <w:color w:val="0000FF"/>
        </w:rPr>
        <w:t>кв.м</w:t>
      </w:r>
      <w:proofErr w:type="spellEnd"/>
      <w:r w:rsidRPr="00484E02">
        <w:t xml:space="preserve">. </w:t>
      </w:r>
      <w:r w:rsidRPr="00273EE7">
        <w:rPr>
          <w:color w:val="0000FF"/>
        </w:rPr>
        <w:t>К праздничным дням – Дню города и Дню Победы выполнен текущий ремонт</w:t>
      </w:r>
      <w:r w:rsidRPr="00484E02">
        <w:t xml:space="preserve"> </w:t>
      </w:r>
      <w:r w:rsidRPr="00EE1856">
        <w:t>(частичная штукатурка и окрашивание подпорной стены, бордюров, ремонт и окрашивание скамеек, замена флагов, частичная замена мраморной плитки). Содержание памятника-мемориала осуществляется согласно заключенным контрактам.</w:t>
      </w:r>
    </w:p>
    <w:p w:rsidR="00273EE7" w:rsidRPr="00EE1856" w:rsidRDefault="00273EE7" w:rsidP="006076AC">
      <w:pPr>
        <w:ind w:firstLine="708"/>
        <w:jc w:val="both"/>
        <w:rPr>
          <w:b/>
        </w:rPr>
      </w:pPr>
    </w:p>
    <w:p w:rsidR="00273EE7" w:rsidRDefault="00273EE7" w:rsidP="006076AC">
      <w:pPr>
        <w:ind w:firstLine="708"/>
        <w:jc w:val="both"/>
        <w:rPr>
          <w:b/>
        </w:rPr>
      </w:pPr>
    </w:p>
    <w:p w:rsidR="006076AC" w:rsidRPr="00341670" w:rsidRDefault="006076AC" w:rsidP="006076AC">
      <w:pPr>
        <w:ind w:firstLine="708"/>
        <w:jc w:val="both"/>
        <w:rPr>
          <w:b/>
        </w:rPr>
      </w:pPr>
      <w:r w:rsidRPr="00341670">
        <w:rPr>
          <w:b/>
        </w:rPr>
        <w:lastRenderedPageBreak/>
        <w:t>6.Содержание подземного перехода</w:t>
      </w:r>
    </w:p>
    <w:p w:rsidR="006076AC" w:rsidRDefault="006076AC" w:rsidP="006076AC">
      <w:pPr>
        <w:ind w:firstLine="709"/>
        <w:jc w:val="both"/>
        <w:rPr>
          <w:sz w:val="28"/>
          <w:szCs w:val="28"/>
        </w:rPr>
      </w:pPr>
      <w:r w:rsidRPr="00341670">
        <w:t>В течение 201</w:t>
      </w:r>
      <w:r w:rsidR="00273EE7">
        <w:t>6</w:t>
      </w:r>
      <w:r w:rsidRPr="00341670">
        <w:t xml:space="preserve"> года производилась круглогодичная плановая уборка подземного перехода площадью </w:t>
      </w:r>
      <w:r w:rsidRPr="00EE1856">
        <w:rPr>
          <w:color w:val="0000FF"/>
        </w:rPr>
        <w:t>32</w:t>
      </w:r>
      <w:r w:rsidR="00EE1856" w:rsidRPr="00EE1856">
        <w:rPr>
          <w:color w:val="0000FF"/>
        </w:rPr>
        <w:t xml:space="preserve">5,61 </w:t>
      </w:r>
      <w:r w:rsidRPr="00EE1856">
        <w:rPr>
          <w:color w:val="0000FF"/>
        </w:rPr>
        <w:t xml:space="preserve">м², </w:t>
      </w:r>
      <w:r w:rsidRPr="00341670">
        <w:t xml:space="preserve">наружная уборка прилегающей территории </w:t>
      </w:r>
      <w:r w:rsidRPr="00EE1856">
        <w:rPr>
          <w:color w:val="0000FF"/>
        </w:rPr>
        <w:t xml:space="preserve">площадью 58 </w:t>
      </w:r>
      <w:proofErr w:type="spellStart"/>
      <w:r w:rsidRPr="00EE1856">
        <w:rPr>
          <w:color w:val="0000FF"/>
        </w:rPr>
        <w:t>кв.м</w:t>
      </w:r>
      <w:proofErr w:type="spellEnd"/>
      <w:r w:rsidRPr="00341670">
        <w:t>, влажная уборка внутреннего помещения не менее 1 раза в месяц, вывоз и утилизация мусора, замена светильников на антивандальные, замена лампочек и оплата электроэнергии, замена щетинистого покрытия, замена дверей, косметический ремонт и облицовка ступенек плиткой тротуарной. Оплата работ по содержанию подземного перехода выполнялась согласно заключенному контракту.</w:t>
      </w:r>
      <w:r w:rsidRPr="00341670">
        <w:rPr>
          <w:sz w:val="28"/>
          <w:szCs w:val="28"/>
        </w:rPr>
        <w:t xml:space="preserve"> </w:t>
      </w:r>
    </w:p>
    <w:p w:rsidR="00273EE7" w:rsidRPr="00511CFC" w:rsidRDefault="00511CFC" w:rsidP="006076AC">
      <w:pPr>
        <w:ind w:firstLine="709"/>
        <w:jc w:val="both"/>
        <w:rPr>
          <w:color w:val="0000FF"/>
        </w:rPr>
      </w:pPr>
      <w:r w:rsidRPr="00511CFC">
        <w:rPr>
          <w:color w:val="0000FF"/>
        </w:rPr>
        <w:t xml:space="preserve">В расходы на содержание подземного перехода </w:t>
      </w:r>
      <w:r>
        <w:rPr>
          <w:color w:val="0000FF"/>
        </w:rPr>
        <w:t xml:space="preserve">были </w:t>
      </w:r>
      <w:r w:rsidRPr="00511CFC">
        <w:rPr>
          <w:color w:val="0000FF"/>
        </w:rPr>
        <w:t xml:space="preserve">включены также расходы на содержание </w:t>
      </w:r>
      <w:r w:rsidR="00AE7F91">
        <w:rPr>
          <w:color w:val="0000FF"/>
        </w:rPr>
        <w:t xml:space="preserve">(техобслуживание) </w:t>
      </w:r>
      <w:r w:rsidRPr="00511CFC">
        <w:rPr>
          <w:color w:val="0000FF"/>
        </w:rPr>
        <w:t>подъемника дл</w:t>
      </w:r>
      <w:r>
        <w:rPr>
          <w:color w:val="0000FF"/>
        </w:rPr>
        <w:t xml:space="preserve">я маломобильных групп населения, который был установлен в 2016 году, </w:t>
      </w:r>
      <w:r w:rsidRPr="00511CFC">
        <w:rPr>
          <w:color w:val="0000FF"/>
        </w:rPr>
        <w:t>и оператора, обслуживающего подъемник, оплата производилась согласно заключенным муниципальным контрактам.</w:t>
      </w:r>
    </w:p>
    <w:p w:rsidR="006076AC" w:rsidRPr="00341670" w:rsidRDefault="006076AC" w:rsidP="006076AC">
      <w:pPr>
        <w:ind w:firstLine="708"/>
        <w:jc w:val="both"/>
        <w:rPr>
          <w:b/>
        </w:rPr>
      </w:pPr>
      <w:r w:rsidRPr="00341670">
        <w:rPr>
          <w:b/>
        </w:rPr>
        <w:t>7. Содержание городских площадей</w:t>
      </w:r>
    </w:p>
    <w:p w:rsidR="00D54CAF" w:rsidRDefault="006076AC" w:rsidP="00D54CAF">
      <w:pPr>
        <w:ind w:firstLine="708"/>
        <w:jc w:val="both"/>
      </w:pPr>
      <w:r w:rsidRPr="00341670">
        <w:t>Общая площадь обслуживаемой территории</w:t>
      </w:r>
      <w:r w:rsidR="00D54CAF">
        <w:t xml:space="preserve"> составляет 29093,58 кв. м, в том числе:</w:t>
      </w:r>
    </w:p>
    <w:p w:rsidR="00D54CAF" w:rsidRDefault="006076AC" w:rsidP="00D54CAF">
      <w:pPr>
        <w:ind w:firstLine="708"/>
        <w:jc w:val="both"/>
        <w:rPr>
          <w:color w:val="0000FF"/>
        </w:rPr>
      </w:pPr>
      <w:r w:rsidRPr="00341670">
        <w:t xml:space="preserve"> </w:t>
      </w:r>
      <w:r w:rsidR="00D54CAF">
        <w:t xml:space="preserve">- </w:t>
      </w:r>
      <w:r w:rsidRPr="00341670">
        <w:t xml:space="preserve">фонтанной площади  </w:t>
      </w:r>
      <w:r w:rsidRPr="00EE1856">
        <w:rPr>
          <w:color w:val="0000FF"/>
        </w:rPr>
        <w:t xml:space="preserve">13 765 </w:t>
      </w:r>
      <w:proofErr w:type="spellStart"/>
      <w:r w:rsidRPr="00EE1856">
        <w:rPr>
          <w:color w:val="0000FF"/>
        </w:rPr>
        <w:t>кв.</w:t>
      </w:r>
      <w:r w:rsidR="00D54CAF">
        <w:t>м</w:t>
      </w:r>
      <w:proofErr w:type="spellEnd"/>
      <w:r w:rsidR="00D54CAF">
        <w:t xml:space="preserve">, </w:t>
      </w:r>
      <w:r w:rsidRPr="00341670">
        <w:t xml:space="preserve"> </w:t>
      </w:r>
      <w:r w:rsidR="00D54CAF">
        <w:t>в</w:t>
      </w:r>
      <w:r w:rsidRPr="00341670">
        <w:t xml:space="preserve"> том числе замощённая уборочная площадь </w:t>
      </w:r>
      <w:r w:rsidRPr="00EE1856">
        <w:rPr>
          <w:color w:val="0000FF"/>
        </w:rPr>
        <w:t xml:space="preserve">10 277 </w:t>
      </w:r>
      <w:proofErr w:type="spellStart"/>
      <w:r w:rsidRPr="00EE1856">
        <w:rPr>
          <w:color w:val="0000FF"/>
        </w:rPr>
        <w:t>кв.</w:t>
      </w:r>
      <w:r w:rsidRPr="00341670">
        <w:t>м</w:t>
      </w:r>
      <w:proofErr w:type="spellEnd"/>
      <w:r w:rsidRPr="00341670">
        <w:t xml:space="preserve">, площадь газонов </w:t>
      </w:r>
      <w:r w:rsidRPr="00EE1856">
        <w:rPr>
          <w:color w:val="0000FF"/>
        </w:rPr>
        <w:t xml:space="preserve">3 431 </w:t>
      </w:r>
      <w:proofErr w:type="spellStart"/>
      <w:r w:rsidRPr="00341670">
        <w:t>кв.м</w:t>
      </w:r>
      <w:proofErr w:type="spellEnd"/>
      <w:r w:rsidRPr="00341670">
        <w:t xml:space="preserve">, площадь часовни </w:t>
      </w:r>
      <w:r w:rsidRPr="00EE1856">
        <w:rPr>
          <w:color w:val="0000FF"/>
        </w:rPr>
        <w:t xml:space="preserve">57 </w:t>
      </w:r>
      <w:proofErr w:type="spellStart"/>
      <w:r w:rsidRPr="00EE1856">
        <w:rPr>
          <w:color w:val="0000FF"/>
        </w:rPr>
        <w:t>кв.м</w:t>
      </w:r>
      <w:proofErr w:type="spellEnd"/>
      <w:r w:rsidRPr="00EE1856">
        <w:rPr>
          <w:color w:val="0000FF"/>
        </w:rPr>
        <w:t xml:space="preserve">. </w:t>
      </w:r>
    </w:p>
    <w:p w:rsidR="00371C9B" w:rsidRPr="00EE1856" w:rsidRDefault="00D54CAF" w:rsidP="00D54CAF">
      <w:pPr>
        <w:ind w:firstLine="708"/>
        <w:jc w:val="both"/>
        <w:rPr>
          <w:color w:val="0000FF"/>
        </w:rPr>
      </w:pPr>
      <w:r>
        <w:rPr>
          <w:color w:val="0000FF"/>
        </w:rPr>
        <w:t xml:space="preserve">- также </w:t>
      </w:r>
      <w:r w:rsidR="00371C9B" w:rsidRPr="00EE1856">
        <w:rPr>
          <w:color w:val="0000FF"/>
        </w:rPr>
        <w:t xml:space="preserve">следующие </w:t>
      </w:r>
      <w:r w:rsidR="006076AC" w:rsidRPr="00EE1856">
        <w:rPr>
          <w:color w:val="0000FF"/>
        </w:rPr>
        <w:t xml:space="preserve">площади - </w:t>
      </w:r>
      <w:r w:rsidR="00371C9B" w:rsidRPr="00EE1856">
        <w:rPr>
          <w:color w:val="0000FF"/>
        </w:rPr>
        <w:t xml:space="preserve">между КДЦ "Югра - Презент" и Храмом Сергия Радонежского; памятник Ленину В.И. с </w:t>
      </w:r>
      <w:proofErr w:type="spellStart"/>
      <w:r w:rsidR="00371C9B" w:rsidRPr="00EE1856">
        <w:rPr>
          <w:color w:val="0000FF"/>
        </w:rPr>
        <w:t>прилегаемой</w:t>
      </w:r>
      <w:proofErr w:type="spellEnd"/>
      <w:r w:rsidR="00371C9B" w:rsidRPr="00EE1856">
        <w:rPr>
          <w:color w:val="0000FF"/>
        </w:rPr>
        <w:t xml:space="preserve"> территорией; возле бюста Попову П.В.; территория сквера «Юбилейный» и памятник «Югорская Берегиня», «Стела Любви»; сквер по ул. Газовиков с площадкой для выгула домашних животных и тренажерной площадкой</w:t>
      </w:r>
      <w:r>
        <w:rPr>
          <w:color w:val="0000FF"/>
        </w:rPr>
        <w:t xml:space="preserve"> - всего общей площадью 15 328,58 </w:t>
      </w:r>
      <w:proofErr w:type="spellStart"/>
      <w:r>
        <w:rPr>
          <w:color w:val="0000FF"/>
        </w:rPr>
        <w:t>кв.м</w:t>
      </w:r>
      <w:proofErr w:type="spellEnd"/>
      <w:r w:rsidR="00371C9B" w:rsidRPr="00EE1856">
        <w:rPr>
          <w:color w:val="0000FF"/>
        </w:rPr>
        <w:t xml:space="preserve">. </w:t>
      </w:r>
    </w:p>
    <w:p w:rsidR="006076AC" w:rsidRPr="00341670" w:rsidRDefault="006076AC" w:rsidP="006076AC">
      <w:pPr>
        <w:ind w:firstLine="708"/>
        <w:jc w:val="both"/>
      </w:pPr>
      <w:r w:rsidRPr="00341670">
        <w:t>Производились круглогодичная плановая уборка территории фонтанной площади, дополнительных площадей, влажная уборка часовни, скамеек, урн. Также уход за газонами и зелеными насаждениями (полив, подкормка удобрениями, подсев семян, подсыпка торфа), скос газонной травы. В зимний период очистка от снега с ежемесячной вывозкой снега. По текущему ремонту в летний период были окрашены урны и скамейки, частично отремонтирована часовня.</w:t>
      </w:r>
    </w:p>
    <w:p w:rsidR="006076AC" w:rsidRPr="00341670" w:rsidRDefault="006076AC" w:rsidP="006076AC">
      <w:pPr>
        <w:ind w:firstLine="708"/>
        <w:jc w:val="both"/>
      </w:pPr>
      <w:r w:rsidRPr="00341670">
        <w:t xml:space="preserve">Проводились работы по содержанию городского фонтана, площадь чаши фонтана 314 </w:t>
      </w:r>
      <w:proofErr w:type="spellStart"/>
      <w:r w:rsidRPr="00341670">
        <w:t>кв.м</w:t>
      </w:r>
      <w:proofErr w:type="spellEnd"/>
      <w:r w:rsidRPr="00341670">
        <w:t xml:space="preserve">, прилегающей территории 217 </w:t>
      </w:r>
      <w:proofErr w:type="spellStart"/>
      <w:r w:rsidRPr="00341670">
        <w:t>кв.м</w:t>
      </w:r>
      <w:proofErr w:type="spellEnd"/>
      <w:r w:rsidRPr="00341670">
        <w:t>. Оплата выполненных работ по содержанию фонтанной площади выполнялась согласно заключенным контрактам. Дополнительно производился частичный ремонт чаши фонтана и замена насосов.</w:t>
      </w:r>
    </w:p>
    <w:p w:rsidR="006076AC" w:rsidRPr="00341670" w:rsidRDefault="006076AC" w:rsidP="006076AC">
      <w:pPr>
        <w:ind w:firstLine="708"/>
        <w:jc w:val="both"/>
        <w:rPr>
          <w:b/>
        </w:rPr>
      </w:pPr>
      <w:r w:rsidRPr="00341670">
        <w:rPr>
          <w:b/>
        </w:rPr>
        <w:t>8. Содержание городского пруда</w:t>
      </w:r>
    </w:p>
    <w:p w:rsidR="006076AC" w:rsidRDefault="006076AC" w:rsidP="006076AC">
      <w:pPr>
        <w:ind w:firstLine="709"/>
        <w:jc w:val="both"/>
      </w:pPr>
      <w:r w:rsidRPr="00341670">
        <w:t xml:space="preserve">Проводилась уборка мусора и водорослей с поверхности водоёма площадью </w:t>
      </w:r>
      <w:r w:rsidRPr="00371C9B">
        <w:rPr>
          <w:color w:val="0000FF"/>
        </w:rPr>
        <w:t xml:space="preserve">6 000 </w:t>
      </w:r>
      <w:proofErr w:type="spellStart"/>
      <w:r w:rsidRPr="00341670">
        <w:t>кв.м</w:t>
      </w:r>
      <w:proofErr w:type="spellEnd"/>
      <w:r w:rsidRPr="00341670">
        <w:t xml:space="preserve">, чистка дна от водорослей, очистка боковых плит от ила, ремонт металлических ограждений со сменой отдельных участков и окрашиванием, вывоз и утилизация мусора, плановая уборка прилегающей территории площадью </w:t>
      </w:r>
      <w:r w:rsidR="00D54CAF" w:rsidRPr="00D54CAF">
        <w:rPr>
          <w:color w:val="0000FF"/>
        </w:rPr>
        <w:t>8</w:t>
      </w:r>
      <w:r w:rsidRPr="00D54CAF">
        <w:rPr>
          <w:color w:val="0000FF"/>
        </w:rPr>
        <w:t> </w:t>
      </w:r>
      <w:r w:rsidRPr="00371C9B">
        <w:rPr>
          <w:color w:val="0000FF"/>
        </w:rPr>
        <w:t xml:space="preserve">400 </w:t>
      </w:r>
      <w:proofErr w:type="spellStart"/>
      <w:r w:rsidRPr="00341670">
        <w:t>кв.м</w:t>
      </w:r>
      <w:proofErr w:type="spellEnd"/>
      <w:r w:rsidRPr="00341670">
        <w:t xml:space="preserve"> (в </w:t>
      </w:r>
      <w:proofErr w:type="spellStart"/>
      <w:r w:rsidRPr="00341670">
        <w:t>т.ч</w:t>
      </w:r>
      <w:proofErr w:type="spellEnd"/>
      <w:r w:rsidRPr="00341670">
        <w:t xml:space="preserve">. площадь газонов 3420 </w:t>
      </w:r>
      <w:proofErr w:type="spellStart"/>
      <w:r w:rsidRPr="00341670">
        <w:t>кв.м</w:t>
      </w:r>
      <w:proofErr w:type="spellEnd"/>
      <w:r w:rsidRPr="00341670">
        <w:t xml:space="preserve">) со скосом травы. В зимнее время чистка дорожек от снега, вывозка снега ежемесячно. Для предотвращения поступления  грунтовых вод в подвалы близлежащих домов выполнялись работы по поддержанию уровня воды городского пруда не выше </w:t>
      </w:r>
      <w:smartTag w:uri="urn:schemas-microsoft-com:office:smarttags" w:element="metricconverter">
        <w:smartTagPr>
          <w:attr w:name="ProductID" w:val="1,3 м"/>
        </w:smartTagPr>
        <w:r w:rsidRPr="00341670">
          <w:t>1,3 м</w:t>
        </w:r>
      </w:smartTag>
      <w:r w:rsidR="00371C9B">
        <w:t xml:space="preserve"> методом сброса воды в КНС, </w:t>
      </w:r>
      <w:r w:rsidR="00FE4181">
        <w:t xml:space="preserve">на данные цели </w:t>
      </w:r>
      <w:r w:rsidR="00371C9B">
        <w:t xml:space="preserve">выплачена субсидия </w:t>
      </w:r>
      <w:proofErr w:type="spellStart"/>
      <w:r w:rsidR="00371C9B">
        <w:t>ресурсоснабжающему</w:t>
      </w:r>
      <w:proofErr w:type="spellEnd"/>
      <w:r w:rsidR="00371C9B">
        <w:t xml:space="preserve"> предприятию МУП «Югорскэнергогаз» </w:t>
      </w:r>
      <w:r w:rsidR="00371C9B" w:rsidRPr="00E86864">
        <w:t xml:space="preserve">в размере 800,0 </w:t>
      </w:r>
      <w:proofErr w:type="spellStart"/>
      <w:r w:rsidR="00371C9B" w:rsidRPr="00E86864">
        <w:t>тыс.руб</w:t>
      </w:r>
      <w:proofErr w:type="spellEnd"/>
      <w:r w:rsidR="00371C9B" w:rsidRPr="00E86864">
        <w:t>.</w:t>
      </w:r>
      <w:r w:rsidRPr="00E86864">
        <w:t xml:space="preserve"> </w:t>
      </w:r>
      <w:r w:rsidRPr="00341670">
        <w:t>В летний период выполнялись работы по  ремонту и окраске ограждения, окраска лавочек, урн и бордюрного камня. Содержание городского пруда осуществляется согласно заключенным контрактам.</w:t>
      </w:r>
    </w:p>
    <w:p w:rsidR="006076AC" w:rsidRPr="00341670" w:rsidRDefault="006076AC" w:rsidP="006076AC">
      <w:pPr>
        <w:ind w:firstLine="708"/>
        <w:jc w:val="both"/>
        <w:rPr>
          <w:b/>
        </w:rPr>
      </w:pPr>
      <w:r w:rsidRPr="00341670">
        <w:rPr>
          <w:b/>
        </w:rPr>
        <w:t>9. Содержание и ремонт детских и спортивных площадок</w:t>
      </w:r>
    </w:p>
    <w:p w:rsidR="006076AC" w:rsidRPr="00341670" w:rsidRDefault="006076AC" w:rsidP="006076AC">
      <w:pPr>
        <w:ind w:firstLine="709"/>
        <w:jc w:val="both"/>
      </w:pPr>
      <w:r w:rsidRPr="00341670">
        <w:t xml:space="preserve">На территории города обслуживается </w:t>
      </w:r>
      <w:r w:rsidRPr="00FE4181">
        <w:rPr>
          <w:color w:val="0000FF"/>
        </w:rPr>
        <w:t>8</w:t>
      </w:r>
      <w:r w:rsidR="00FE4181" w:rsidRPr="00FE4181">
        <w:rPr>
          <w:color w:val="0000FF"/>
        </w:rPr>
        <w:t>9</w:t>
      </w:r>
      <w:r w:rsidRPr="00341670">
        <w:t xml:space="preserve"> детских и спортивных площадок. Проводилась круглогодичная плановая уборка территории детских и спортивных площадок с вывозом и утилизацией мусора площадью </w:t>
      </w:r>
      <w:r w:rsidR="00FE4181" w:rsidRPr="00FE4181">
        <w:rPr>
          <w:color w:val="0000FF"/>
        </w:rPr>
        <w:t>39 438,85</w:t>
      </w:r>
      <w:r w:rsidRPr="00FE4181">
        <w:rPr>
          <w:color w:val="0000FF"/>
        </w:rPr>
        <w:t xml:space="preserve"> </w:t>
      </w:r>
      <w:r w:rsidRPr="00341670">
        <w:t>кв.</w:t>
      </w:r>
      <w:r w:rsidR="00FE4181">
        <w:t xml:space="preserve"> </w:t>
      </w:r>
      <w:r w:rsidRPr="00341670">
        <w:t xml:space="preserve">м, в зимний период вывоз снега.  Выполнен частичный  текущий ремонт на всех детских городках (масляная окраска металлических и деревянных поверхностей, установка деревянных и металлических заглушек, отсыпка песком, ремонт деревянных конструкций, ремонт ограждений). Выполнены работы </w:t>
      </w:r>
      <w:r w:rsidRPr="00E86864">
        <w:t xml:space="preserve">по частичному демонтажу деревянных аварийных малых форм. </w:t>
      </w:r>
      <w:r w:rsidRPr="00341670">
        <w:t>В течение летнего периода производились работы по скосу травы. Детские городки приведены в соответствие требованиям ГОСТ и СНиП. Оплата выполненных работ производилась согласно заключенным контрактам.</w:t>
      </w:r>
    </w:p>
    <w:p w:rsidR="00FE4181" w:rsidRPr="00E86864" w:rsidRDefault="00FE4181" w:rsidP="00FE4181">
      <w:pPr>
        <w:ind w:firstLine="709"/>
        <w:jc w:val="both"/>
      </w:pPr>
      <w:r w:rsidRPr="00E86864">
        <w:lastRenderedPageBreak/>
        <w:t xml:space="preserve">Дополнительно были установлены малые архитектурные формы на детских площадках  по ул. Гастелло,15; </w:t>
      </w:r>
      <w:proofErr w:type="spellStart"/>
      <w:r w:rsidRPr="00E86864">
        <w:t>ул.Таежная</w:t>
      </w:r>
      <w:proofErr w:type="spellEnd"/>
      <w:r w:rsidRPr="00E86864">
        <w:t xml:space="preserve">, 22а; ул.Таежная,12; ул.Механизаторов,10; ул.Энтузиастов,3а; ул.Студенческая,16.  </w:t>
      </w:r>
    </w:p>
    <w:p w:rsidR="006076AC" w:rsidRPr="00896310" w:rsidRDefault="006076AC" w:rsidP="006076AC">
      <w:pPr>
        <w:ind w:firstLine="709"/>
        <w:jc w:val="both"/>
        <w:rPr>
          <w:b/>
        </w:rPr>
      </w:pPr>
      <w:r w:rsidRPr="00896310">
        <w:rPr>
          <w:b/>
        </w:rPr>
        <w:t>10. Содержание пожарных водоёмов</w:t>
      </w:r>
    </w:p>
    <w:p w:rsidR="006076AC" w:rsidRPr="00896310" w:rsidRDefault="006076AC" w:rsidP="006076AC">
      <w:pPr>
        <w:ind w:firstLine="709"/>
        <w:jc w:val="both"/>
      </w:pPr>
      <w:r w:rsidRPr="00896310">
        <w:t xml:space="preserve">Производилась эксплуатация и текущий ремонт </w:t>
      </w:r>
      <w:r w:rsidRPr="00FE4181">
        <w:rPr>
          <w:color w:val="0000FF"/>
        </w:rPr>
        <w:t xml:space="preserve">13 </w:t>
      </w:r>
      <w:r w:rsidRPr="00E86864">
        <w:t xml:space="preserve">пожарных водоемов </w:t>
      </w:r>
      <w:r w:rsidRPr="00896310">
        <w:t>(ремонт и утепление оголовков, контроль воды, расчистка подъездов). Отремонтированы и окрашены люки, заменены реперные знаки-указатели. К зимнему периоду производилось утепление всех пожарных водоемов. Оплата производилась согласно заключенным контрактам.</w:t>
      </w:r>
    </w:p>
    <w:p w:rsidR="006076AC" w:rsidRPr="00C9563B" w:rsidRDefault="006076AC" w:rsidP="006076AC">
      <w:pPr>
        <w:ind w:firstLine="709"/>
        <w:jc w:val="both"/>
        <w:rPr>
          <w:b/>
        </w:rPr>
      </w:pPr>
      <w:r w:rsidRPr="00C9563B">
        <w:rPr>
          <w:b/>
        </w:rPr>
        <w:t>11. Содержание пожарных гидрантов</w:t>
      </w:r>
    </w:p>
    <w:p w:rsidR="002C0596" w:rsidRPr="002C0596" w:rsidRDefault="006076AC" w:rsidP="00AE7F91">
      <w:pPr>
        <w:snapToGrid w:val="0"/>
        <w:ind w:firstLine="708"/>
        <w:jc w:val="both"/>
      </w:pPr>
      <w:r w:rsidRPr="0035400B">
        <w:t xml:space="preserve">Производилось содержание </w:t>
      </w:r>
      <w:r w:rsidR="002C0596" w:rsidRPr="002C0596">
        <w:rPr>
          <w:color w:val="0000FF"/>
        </w:rPr>
        <w:t>397</w:t>
      </w:r>
      <w:r w:rsidRPr="002C0596">
        <w:rPr>
          <w:color w:val="0000FF"/>
        </w:rPr>
        <w:t xml:space="preserve"> </w:t>
      </w:r>
      <w:r w:rsidRPr="00E86864">
        <w:t xml:space="preserve">пожарных гидрантов, </w:t>
      </w:r>
      <w:r w:rsidRPr="00896310">
        <w:t>в том числе: регулярная проверка исправности, текущий ремонт, утепление оголовков, влажная очистк</w:t>
      </w:r>
      <w:r w:rsidR="002C0596">
        <w:t>а реперных знаков от пыли грязи. В зимний период также производилась р</w:t>
      </w:r>
      <w:r w:rsidR="002C0596" w:rsidRPr="002C0596">
        <w:t>егулярная проверка и обеспечение  беспрепятственного доступа к использованию гидрантов, расположенных в административных зданиях, жилых домах и на др</w:t>
      </w:r>
      <w:r w:rsidR="002C0596">
        <w:t>угих</w:t>
      </w:r>
      <w:r w:rsidR="002C0596" w:rsidRPr="002C0596">
        <w:t xml:space="preserve"> территориях</w:t>
      </w:r>
      <w:r w:rsidR="002C0596">
        <w:t>; р</w:t>
      </w:r>
      <w:r w:rsidR="002C0596" w:rsidRPr="002C0596">
        <w:t>егулярная очистка проездных путей к крышкам колодцев гидрантов, прилегающей тер</w:t>
      </w:r>
      <w:r w:rsidR="002C0596">
        <w:t xml:space="preserve">ритории к крышкам </w:t>
      </w:r>
      <w:r w:rsidR="002C0596" w:rsidRPr="002C0596">
        <w:t>от мусора, посторонних предметов и снега с вывозом снега по необходимости</w:t>
      </w:r>
      <w:r w:rsidR="002C0596">
        <w:t>.</w:t>
      </w:r>
    </w:p>
    <w:p w:rsidR="006076AC" w:rsidRPr="00896310" w:rsidRDefault="006076AC" w:rsidP="006076AC">
      <w:pPr>
        <w:ind w:firstLine="709"/>
        <w:jc w:val="both"/>
      </w:pPr>
      <w:r w:rsidRPr="00896310">
        <w:t>Оплата производилась согласно заключенным контрактам.</w:t>
      </w:r>
    </w:p>
    <w:p w:rsidR="006076AC" w:rsidRPr="00896310" w:rsidRDefault="006076AC" w:rsidP="006076AC">
      <w:pPr>
        <w:ind w:firstLine="708"/>
        <w:jc w:val="both"/>
        <w:rPr>
          <w:b/>
        </w:rPr>
      </w:pPr>
      <w:r w:rsidRPr="00896310">
        <w:rPr>
          <w:b/>
        </w:rPr>
        <w:t>12. Содержание  малых архитектурных форм</w:t>
      </w:r>
    </w:p>
    <w:p w:rsidR="006076AC" w:rsidRDefault="006076AC" w:rsidP="006076AC">
      <w:pPr>
        <w:ind w:firstLine="708"/>
        <w:jc w:val="both"/>
      </w:pPr>
      <w:r w:rsidRPr="00896310">
        <w:t>Устанавливаются и содержатся в надлежащем порядке баннеры, скамейки, урны, городские часы и прочие малые архитектурные формы.</w:t>
      </w:r>
    </w:p>
    <w:p w:rsidR="006076AC" w:rsidRPr="00896310" w:rsidRDefault="006076AC" w:rsidP="006076AC">
      <w:pPr>
        <w:ind w:firstLine="709"/>
        <w:jc w:val="both"/>
      </w:pPr>
      <w:r w:rsidRPr="00E86864">
        <w:t>В 201</w:t>
      </w:r>
      <w:r w:rsidR="00FE4181" w:rsidRPr="00E86864">
        <w:t>6</w:t>
      </w:r>
      <w:r w:rsidRPr="00E86864">
        <w:t xml:space="preserve"> году по жилищному фонду дополнительно было установлено </w:t>
      </w:r>
      <w:r w:rsidR="00FE4181" w:rsidRPr="00E86864">
        <w:t>36</w:t>
      </w:r>
      <w:r w:rsidRPr="00E86864">
        <w:t xml:space="preserve"> урн  и 2</w:t>
      </w:r>
      <w:r w:rsidR="00FE4181" w:rsidRPr="00E86864">
        <w:t>8</w:t>
      </w:r>
      <w:r w:rsidRPr="00E86864">
        <w:t xml:space="preserve"> скаме</w:t>
      </w:r>
      <w:r w:rsidR="00FE4181" w:rsidRPr="00E86864">
        <w:t>ек</w:t>
      </w:r>
      <w:r w:rsidRPr="00E86864">
        <w:t xml:space="preserve">. </w:t>
      </w:r>
      <w:r w:rsidR="00E86864" w:rsidRPr="00E86864">
        <w:t xml:space="preserve">Установлено ограждение на детской площадке по ул. Мира,54А, ул.Мира,51А, ул.Садовая,84. </w:t>
      </w:r>
      <w:r w:rsidRPr="00896310">
        <w:t xml:space="preserve">Осуществлялось содержание и ремонт  </w:t>
      </w:r>
      <w:r w:rsidRPr="00E86864">
        <w:t xml:space="preserve">3-х городских часов.  Производился ремонт малых архитектурных форм города Югорска: окраска шаров на газонах, ремонт скульптурно-декоративных композиций: «Олени», «Лошади», «Телега», «Мельница». </w:t>
      </w:r>
      <w:r w:rsidRPr="00896310">
        <w:t>Оплата выполненных работ производилась согласно заключенным контрактам.</w:t>
      </w:r>
    </w:p>
    <w:p w:rsidR="006076AC" w:rsidRPr="00896310" w:rsidRDefault="006076AC" w:rsidP="006076AC">
      <w:pPr>
        <w:ind w:firstLine="708"/>
        <w:jc w:val="both"/>
        <w:rPr>
          <w:b/>
        </w:rPr>
      </w:pPr>
      <w:r w:rsidRPr="00896310">
        <w:rPr>
          <w:b/>
        </w:rPr>
        <w:t>13. Содержание автобусных остановок</w:t>
      </w:r>
    </w:p>
    <w:p w:rsidR="006076AC" w:rsidRPr="00896310" w:rsidRDefault="006076AC" w:rsidP="006076AC">
      <w:pPr>
        <w:ind w:firstLine="709"/>
        <w:jc w:val="both"/>
      </w:pPr>
      <w:r w:rsidRPr="00FE4181">
        <w:rPr>
          <w:color w:val="0000FF"/>
        </w:rPr>
        <w:t>На обслуживании находится 4</w:t>
      </w:r>
      <w:r w:rsidR="00FE4181" w:rsidRPr="00FE4181">
        <w:rPr>
          <w:color w:val="0000FF"/>
        </w:rPr>
        <w:t>5</w:t>
      </w:r>
      <w:r w:rsidRPr="00FE4181">
        <w:rPr>
          <w:color w:val="0000FF"/>
        </w:rPr>
        <w:t xml:space="preserve"> остановочных комплекс</w:t>
      </w:r>
      <w:r w:rsidR="00FE4181" w:rsidRPr="00FE4181">
        <w:rPr>
          <w:color w:val="0000FF"/>
        </w:rPr>
        <w:t>ов</w:t>
      </w:r>
      <w:r w:rsidRPr="00FE4181">
        <w:rPr>
          <w:color w:val="0000FF"/>
        </w:rPr>
        <w:t xml:space="preserve">, в том числе 9 на Зеленой </w:t>
      </w:r>
      <w:r w:rsidRPr="00896310">
        <w:t xml:space="preserve">зоне. Проводилась круглогодичная плановая уборка посадочных площадок и прилегающей территории  с вывозкой и утилизацией мусора. В зимний период производилась сколка льда и подсыпка песком. Произведен текущий ремонт </w:t>
      </w:r>
      <w:r w:rsidR="00F30164" w:rsidRPr="00F30164">
        <w:rPr>
          <w:color w:val="0000FF"/>
        </w:rPr>
        <w:t xml:space="preserve">19 </w:t>
      </w:r>
      <w:r w:rsidRPr="00F30164">
        <w:rPr>
          <w:color w:val="0000FF"/>
        </w:rPr>
        <w:t xml:space="preserve">остановочных комплексов </w:t>
      </w:r>
      <w:r w:rsidRPr="00896310">
        <w:t>(ремонт скамеек, урн, боковых частей и кровли, окрашивание). Оплата выполненных работ производилась согласно заключенным контрактам.</w:t>
      </w:r>
    </w:p>
    <w:p w:rsidR="006076AC" w:rsidRPr="00C9563B" w:rsidRDefault="006076AC" w:rsidP="006076AC">
      <w:pPr>
        <w:ind w:firstLine="708"/>
        <w:jc w:val="both"/>
        <w:rPr>
          <w:b/>
        </w:rPr>
      </w:pPr>
      <w:r w:rsidRPr="00C9563B">
        <w:rPr>
          <w:b/>
        </w:rPr>
        <w:t xml:space="preserve">14.Содержание контейнерных площадок (ул. Газовиков, </w:t>
      </w:r>
      <w:proofErr w:type="spellStart"/>
      <w:r w:rsidRPr="00C9563B">
        <w:rPr>
          <w:b/>
        </w:rPr>
        <w:t>ул.Кольцевая</w:t>
      </w:r>
      <w:proofErr w:type="spellEnd"/>
      <w:r w:rsidRPr="00C9563B">
        <w:rPr>
          <w:b/>
        </w:rPr>
        <w:t>)</w:t>
      </w:r>
    </w:p>
    <w:p w:rsidR="006076AC" w:rsidRPr="00C9563B" w:rsidRDefault="006076AC" w:rsidP="006076AC">
      <w:pPr>
        <w:ind w:firstLine="709"/>
        <w:jc w:val="both"/>
      </w:pPr>
      <w:r w:rsidRPr="00C9563B">
        <w:t xml:space="preserve">Проводились следующие работы по содержанию </w:t>
      </w:r>
      <w:r w:rsidRPr="00FE4181">
        <w:rPr>
          <w:color w:val="0000FF"/>
        </w:rPr>
        <w:t xml:space="preserve">контейнерных площадок по ул. Газовиков, ул. Кольцевая, общей площадью обслуживания 4 454 </w:t>
      </w:r>
      <w:proofErr w:type="spellStart"/>
      <w:r w:rsidRPr="00FE4181">
        <w:rPr>
          <w:color w:val="0000FF"/>
        </w:rPr>
        <w:t>кв.м</w:t>
      </w:r>
      <w:proofErr w:type="spellEnd"/>
      <w:r w:rsidRPr="00FE4181">
        <w:rPr>
          <w:color w:val="0000FF"/>
        </w:rPr>
        <w:t xml:space="preserve">: </w:t>
      </w:r>
      <w:r w:rsidRPr="00C9563B">
        <w:t>ежедневная круглогодичная уборка контейнерных площадок и прилегающей территории, вывозка и утилизация мусора, уборка и мойка (в летний период) контейнеров, уборка и вывозка снега, устранение скользкости, ежемесячное грейдирование подъездных дорог, подсыпка песком. Проведены следующие работы - отсыпка щебнем подъездных путей и площадки; ремонт ограждения с частичной заменой секций, масляная окраска металлических поверхностей ограждений. Оплата производилась согласно заключенным контрактам.</w:t>
      </w:r>
    </w:p>
    <w:p w:rsidR="006076AC" w:rsidRPr="00C9563B" w:rsidRDefault="006076AC" w:rsidP="006076AC">
      <w:pPr>
        <w:ind w:firstLine="709"/>
        <w:jc w:val="both"/>
        <w:rPr>
          <w:b/>
        </w:rPr>
      </w:pPr>
      <w:r w:rsidRPr="00C9563B">
        <w:rPr>
          <w:b/>
        </w:rPr>
        <w:t>15. Снос ветхих строений</w:t>
      </w:r>
    </w:p>
    <w:p w:rsidR="006076AC" w:rsidRPr="00C9563B" w:rsidRDefault="006076AC" w:rsidP="006076AC">
      <w:pPr>
        <w:ind w:firstLine="708"/>
        <w:jc w:val="both"/>
      </w:pPr>
      <w:r w:rsidRPr="00C9563B">
        <w:t>Снос ветхих строений производится на основании распоряжений администрации города. Включают: снос ветхого строения с вывозом и утилизацией, уборку мелких фрагментов, планировку территории с завозом песка. Оплата выполненных работ производилась согласно заключенным контрактам.</w:t>
      </w:r>
    </w:p>
    <w:p w:rsidR="00FE4181" w:rsidRPr="00B94058" w:rsidRDefault="006076AC" w:rsidP="00FE4181">
      <w:pPr>
        <w:ind w:firstLine="709"/>
        <w:jc w:val="both"/>
        <w:rPr>
          <w:color w:val="0000FF"/>
        </w:rPr>
      </w:pPr>
      <w:r w:rsidRPr="00F30164">
        <w:rPr>
          <w:color w:val="0000FF"/>
        </w:rPr>
        <w:t>В 201</w:t>
      </w:r>
      <w:r w:rsidR="00FE4181" w:rsidRPr="00F30164">
        <w:rPr>
          <w:color w:val="0000FF"/>
        </w:rPr>
        <w:t>6</w:t>
      </w:r>
      <w:r w:rsidRPr="00F30164">
        <w:rPr>
          <w:color w:val="0000FF"/>
        </w:rPr>
        <w:t xml:space="preserve"> году всего снесено </w:t>
      </w:r>
      <w:r w:rsidRPr="00C9563B">
        <w:t xml:space="preserve">в соответствии с распоряжениями администрации города,  </w:t>
      </w:r>
      <w:r w:rsidR="00FE4181" w:rsidRPr="00B94058">
        <w:rPr>
          <w:color w:val="0000FF"/>
        </w:rPr>
        <w:t xml:space="preserve">7,6 </w:t>
      </w:r>
      <w:proofErr w:type="spellStart"/>
      <w:r w:rsidR="00FE4181" w:rsidRPr="00B94058">
        <w:rPr>
          <w:color w:val="0000FF"/>
        </w:rPr>
        <w:t>тыс.кв.м</w:t>
      </w:r>
      <w:proofErr w:type="spellEnd"/>
      <w:r w:rsidR="00FE4181" w:rsidRPr="00B94058">
        <w:rPr>
          <w:color w:val="0000FF"/>
        </w:rPr>
        <w:t>. ветхого жилья (10 ж</w:t>
      </w:r>
      <w:r w:rsidR="00FE4181">
        <w:rPr>
          <w:color w:val="0000FF"/>
        </w:rPr>
        <w:t>илых зданий).</w:t>
      </w:r>
    </w:p>
    <w:p w:rsidR="006076AC" w:rsidRPr="00C9563B" w:rsidRDefault="006076AC" w:rsidP="006076AC">
      <w:pPr>
        <w:ind w:firstLine="709"/>
        <w:jc w:val="both"/>
        <w:rPr>
          <w:b/>
        </w:rPr>
      </w:pPr>
      <w:r w:rsidRPr="00C9563B">
        <w:rPr>
          <w:b/>
        </w:rPr>
        <w:t>16. Подготовка города к Новому году</w:t>
      </w:r>
    </w:p>
    <w:p w:rsidR="006076AC" w:rsidRPr="00C9563B" w:rsidRDefault="006076AC" w:rsidP="006076AC">
      <w:pPr>
        <w:jc w:val="both"/>
      </w:pPr>
      <w:r w:rsidRPr="00C9563B">
        <w:tab/>
        <w:t xml:space="preserve">Производилась сборка, установка и демонтаж новогодних ёлок по жилищному фонду </w:t>
      </w:r>
      <w:r w:rsidRPr="00F30164">
        <w:rPr>
          <w:color w:val="0000FF"/>
        </w:rPr>
        <w:t xml:space="preserve">– 19 шт., </w:t>
      </w:r>
      <w:r w:rsidR="00E86864" w:rsidRPr="00E86864">
        <w:t xml:space="preserve">из них 14 сборных, а также монтаж и демонтаж гирлянд на ёлки в количестве 2820 </w:t>
      </w:r>
      <w:proofErr w:type="spellStart"/>
      <w:r w:rsidR="00E86864" w:rsidRPr="00E86864">
        <w:t>п.м</w:t>
      </w:r>
      <w:proofErr w:type="spellEnd"/>
      <w:r w:rsidR="00E86864" w:rsidRPr="00E86864">
        <w:t>.</w:t>
      </w:r>
      <w:r w:rsidR="00E86864" w:rsidRPr="00C9563B">
        <w:t xml:space="preserve"> </w:t>
      </w:r>
      <w:r w:rsidRPr="00C9563B">
        <w:t>Оплата выполненных работ производилась согласно заключенным контрактам.</w:t>
      </w:r>
    </w:p>
    <w:p w:rsidR="006076AC" w:rsidRPr="00C9563B" w:rsidRDefault="006076AC" w:rsidP="006076AC">
      <w:pPr>
        <w:jc w:val="both"/>
        <w:rPr>
          <w:b/>
        </w:rPr>
      </w:pPr>
      <w:r w:rsidRPr="00401730">
        <w:rPr>
          <w:color w:val="7030A0"/>
        </w:rPr>
        <w:tab/>
      </w:r>
      <w:r w:rsidRPr="00C9563B">
        <w:rPr>
          <w:b/>
        </w:rPr>
        <w:t>17.Содержание скульптурно-декоративных композиций</w:t>
      </w:r>
    </w:p>
    <w:p w:rsidR="006076AC" w:rsidRPr="00C9563B" w:rsidRDefault="006076AC" w:rsidP="006076AC">
      <w:pPr>
        <w:ind w:firstLine="708"/>
        <w:jc w:val="both"/>
      </w:pPr>
      <w:r w:rsidRPr="00C9563B">
        <w:lastRenderedPageBreak/>
        <w:t>Производилось содержание и текущий ремонт  памятника «Вертолёт», а также содержание и текущий ремонт скульптурно-декоративных композиций – «Паровоз» на привокзальной площади и «Автомобиль ЗИЛ-157» на выезде из города в северной части. Оплата выполненных работ производилась согласно заключенным контрактам.</w:t>
      </w:r>
    </w:p>
    <w:p w:rsidR="003A7A1B" w:rsidRDefault="003A7A1B" w:rsidP="00556176">
      <w:pPr>
        <w:ind w:left="7079" w:firstLine="709"/>
        <w:jc w:val="center"/>
        <w:rPr>
          <w:bCs/>
          <w:iCs/>
        </w:rPr>
      </w:pPr>
    </w:p>
    <w:p w:rsidR="00E9180A" w:rsidRDefault="00A430BD" w:rsidP="003A7A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A1B">
        <w:rPr>
          <w:rFonts w:ascii="Times New Roman" w:hAnsi="Times New Roman" w:cs="Times New Roman"/>
          <w:sz w:val="24"/>
          <w:szCs w:val="24"/>
        </w:rPr>
        <w:t>В результате реализации данн</w:t>
      </w:r>
      <w:r w:rsidR="00F30164">
        <w:rPr>
          <w:rFonts w:ascii="Times New Roman" w:hAnsi="Times New Roman" w:cs="Times New Roman"/>
          <w:sz w:val="24"/>
          <w:szCs w:val="24"/>
        </w:rPr>
        <w:t xml:space="preserve">ых </w:t>
      </w:r>
      <w:r w:rsidRPr="003A7A1B">
        <w:rPr>
          <w:rFonts w:ascii="Times New Roman" w:hAnsi="Times New Roman" w:cs="Times New Roman"/>
          <w:sz w:val="24"/>
          <w:szCs w:val="24"/>
        </w:rPr>
        <w:t>мероприяти</w:t>
      </w:r>
      <w:r w:rsidR="00F30164">
        <w:rPr>
          <w:rFonts w:ascii="Times New Roman" w:hAnsi="Times New Roman" w:cs="Times New Roman"/>
          <w:sz w:val="24"/>
          <w:szCs w:val="24"/>
        </w:rPr>
        <w:t>й</w:t>
      </w:r>
      <w:r w:rsidRPr="003A7A1B">
        <w:rPr>
          <w:rFonts w:ascii="Times New Roman" w:hAnsi="Times New Roman" w:cs="Times New Roman"/>
          <w:sz w:val="24"/>
          <w:szCs w:val="24"/>
        </w:rPr>
        <w:t xml:space="preserve"> была выполнена в полном объеме  задача </w:t>
      </w:r>
      <w:r w:rsidR="00F30164">
        <w:rPr>
          <w:rFonts w:ascii="Times New Roman" w:hAnsi="Times New Roman" w:cs="Times New Roman"/>
          <w:sz w:val="24"/>
          <w:szCs w:val="24"/>
        </w:rPr>
        <w:t xml:space="preserve">мероприятия 2 программы </w:t>
      </w:r>
      <w:r w:rsidRPr="003A7A1B">
        <w:rPr>
          <w:rFonts w:ascii="Times New Roman" w:hAnsi="Times New Roman" w:cs="Times New Roman"/>
          <w:sz w:val="24"/>
          <w:szCs w:val="24"/>
        </w:rPr>
        <w:t>- приведение объектов благоустройства в надлежащее санитарно-техническое состояние.</w:t>
      </w:r>
      <w:r w:rsidR="003A7A1B" w:rsidRPr="003A7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0BD" w:rsidRPr="00667D8B" w:rsidRDefault="00A430BD" w:rsidP="002C0596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667D8B">
        <w:rPr>
          <w:sz w:val="24"/>
          <w:szCs w:val="24"/>
        </w:rPr>
        <w:t xml:space="preserve">Результатами реализации </w:t>
      </w:r>
      <w:r w:rsidR="002E6187" w:rsidRPr="00667D8B">
        <w:rPr>
          <w:sz w:val="24"/>
          <w:szCs w:val="24"/>
        </w:rPr>
        <w:t>мероприятия 2</w:t>
      </w:r>
      <w:r w:rsidRPr="00667D8B">
        <w:rPr>
          <w:sz w:val="24"/>
          <w:szCs w:val="24"/>
        </w:rPr>
        <w:t xml:space="preserve"> в 201</w:t>
      </w:r>
      <w:r w:rsidR="002E6187" w:rsidRPr="00667D8B">
        <w:rPr>
          <w:sz w:val="24"/>
          <w:szCs w:val="24"/>
        </w:rPr>
        <w:t>6</w:t>
      </w:r>
      <w:r w:rsidRPr="00667D8B">
        <w:rPr>
          <w:sz w:val="24"/>
          <w:szCs w:val="24"/>
        </w:rPr>
        <w:t xml:space="preserve"> году стали следующие целевые показатели:</w:t>
      </w:r>
    </w:p>
    <w:p w:rsidR="009402A9" w:rsidRPr="00667D8B" w:rsidRDefault="009402A9" w:rsidP="002C0596">
      <w:pPr>
        <w:pStyle w:val="a6"/>
        <w:ind w:firstLine="709"/>
        <w:rPr>
          <w:rFonts w:ascii="Times New Roman" w:hAnsi="Times New Roman" w:cs="Times New Roman"/>
          <w:lang w:eastAsia="en-US"/>
        </w:rPr>
      </w:pPr>
      <w:r w:rsidRPr="00667D8B">
        <w:rPr>
          <w:rFonts w:ascii="Times New Roman" w:hAnsi="Times New Roman" w:cs="Times New Roman"/>
          <w:lang w:eastAsia="en-US"/>
        </w:rPr>
        <w:t>2. Сохранение достигнутого уровня доли содержания и текущего ремонта уличного освещения от общей протяженности сетей уличного освещения - 100% (показатель достигнут 100% с 2013 года).</w:t>
      </w:r>
    </w:p>
    <w:p w:rsidR="009402A9" w:rsidRPr="00667D8B" w:rsidRDefault="009402A9" w:rsidP="002C0596">
      <w:pPr>
        <w:pStyle w:val="a6"/>
        <w:ind w:firstLine="709"/>
        <w:rPr>
          <w:rFonts w:ascii="Times New Roman" w:hAnsi="Times New Roman" w:cs="Times New Roman"/>
          <w:lang w:eastAsia="en-US"/>
        </w:rPr>
      </w:pPr>
      <w:r w:rsidRPr="00667D8B">
        <w:rPr>
          <w:rFonts w:ascii="Times New Roman" w:hAnsi="Times New Roman" w:cs="Times New Roman"/>
          <w:lang w:eastAsia="en-US"/>
        </w:rPr>
        <w:t>3. Сохранение достигнутого уровня доли содержания, ухода и ремонта газонов и зеленых насаждений от общего количества газонов и зеленых насаждений - 100% (показатель достигнут 100% с 2013 года).</w:t>
      </w:r>
    </w:p>
    <w:p w:rsidR="009402A9" w:rsidRPr="00667D8B" w:rsidRDefault="009402A9" w:rsidP="002C0596">
      <w:pPr>
        <w:pStyle w:val="a6"/>
        <w:ind w:firstLine="709"/>
        <w:rPr>
          <w:rFonts w:ascii="Times New Roman" w:hAnsi="Times New Roman" w:cs="Times New Roman"/>
          <w:lang w:eastAsia="en-US"/>
        </w:rPr>
      </w:pPr>
      <w:r w:rsidRPr="00667D8B">
        <w:rPr>
          <w:rFonts w:ascii="Times New Roman" w:hAnsi="Times New Roman" w:cs="Times New Roman"/>
          <w:lang w:eastAsia="en-US"/>
        </w:rPr>
        <w:t>4. Сохранение достигнутого уровня доли содержания городских кладбищ от общей площади городских кладбищ - 100% (показатель достигнут 100% с 2013 года).</w:t>
      </w:r>
    </w:p>
    <w:p w:rsidR="009402A9" w:rsidRPr="00667D8B" w:rsidRDefault="009402A9" w:rsidP="002C0596">
      <w:pPr>
        <w:pStyle w:val="a6"/>
        <w:ind w:firstLine="709"/>
        <w:rPr>
          <w:rFonts w:ascii="Times New Roman" w:hAnsi="Times New Roman" w:cs="Times New Roman"/>
          <w:lang w:eastAsia="en-US"/>
        </w:rPr>
      </w:pPr>
      <w:r w:rsidRPr="00667D8B">
        <w:rPr>
          <w:rFonts w:ascii="Times New Roman" w:hAnsi="Times New Roman" w:cs="Times New Roman"/>
          <w:lang w:eastAsia="en-US"/>
        </w:rPr>
        <w:t>5. Сохранение достигнутого уровня доли содержания и текущего ремонта объектов благоустройства от общего количества объектов благоустройства города - 100% (показатель достигнут 100% с 2013 года).</w:t>
      </w:r>
    </w:p>
    <w:p w:rsidR="00260717" w:rsidRDefault="00260717" w:rsidP="002C0596">
      <w:pPr>
        <w:ind w:firstLine="708"/>
        <w:jc w:val="both"/>
      </w:pPr>
    </w:p>
    <w:p w:rsidR="00260717" w:rsidRPr="007902B2" w:rsidRDefault="00556176" w:rsidP="00260717">
      <w:pPr>
        <w:ind w:firstLine="709"/>
        <w:jc w:val="both"/>
      </w:pPr>
      <w:r>
        <w:rPr>
          <w:b/>
          <w:u w:val="single"/>
        </w:rPr>
        <w:t>Мероприятие 3.</w:t>
      </w:r>
      <w:r w:rsidR="00260717" w:rsidRPr="007902B2">
        <w:rPr>
          <w:b/>
          <w:u w:val="single"/>
        </w:rPr>
        <w:t xml:space="preserve"> «Санитарный отлов безнадзорных и бродячих  животных».</w:t>
      </w:r>
      <w:r w:rsidR="00260717" w:rsidRPr="007902B2">
        <w:t xml:space="preserve"> </w:t>
      </w:r>
    </w:p>
    <w:p w:rsidR="00260717" w:rsidRDefault="00260717" w:rsidP="00260717">
      <w:pPr>
        <w:ind w:firstLine="709"/>
        <w:jc w:val="both"/>
      </w:pPr>
    </w:p>
    <w:p w:rsidR="00260717" w:rsidRDefault="00260717" w:rsidP="00260717">
      <w:pPr>
        <w:ind w:firstLine="709"/>
        <w:jc w:val="both"/>
      </w:pPr>
      <w:r w:rsidRPr="007902B2">
        <w:t>В рамках данного мероприятия осуществлялся отлов и транспортировка, содержание и учет отловленных безнадзорных и бродячих домашних животных,  умерщвление и утилизация бродячих домашних животных в рамках переданного муниципальному образованию отдельного государственного полномочия законом Ханты-Мансийского автономного округа - Югры от 05.04.2013 года № 29-оз «О наделении органов местного самоуправления муниципальных образований ХМАО - Югры отдельным государственным полномочием   ХМАО - Югры по проведению мероприятий по предупреждению и ликвидации болезней животных, их лечению, защите населения от болезней, общих для человека и животных».</w:t>
      </w:r>
    </w:p>
    <w:p w:rsidR="00E9180A" w:rsidRPr="00E86864" w:rsidRDefault="00E9180A" w:rsidP="00E9180A">
      <w:pPr>
        <w:ind w:firstLine="540"/>
        <w:jc w:val="both"/>
      </w:pPr>
      <w:r w:rsidRPr="00E86864">
        <w:t>В 2016 году на данные цели из бюджета округа направлены средства субвенции 473</w:t>
      </w:r>
      <w:r w:rsidR="00E86864" w:rsidRPr="00E86864">
        <w:t>,0</w:t>
      </w:r>
      <w:r w:rsidRPr="00E86864">
        <w:t xml:space="preserve"> </w:t>
      </w:r>
      <w:proofErr w:type="spellStart"/>
      <w:r w:rsidR="00E86864" w:rsidRPr="00E86864">
        <w:t>тыс.руб</w:t>
      </w:r>
      <w:proofErr w:type="spellEnd"/>
      <w:r w:rsidR="00E86864" w:rsidRPr="00E86864">
        <w:t>.</w:t>
      </w:r>
      <w:r w:rsidRPr="00E86864">
        <w:t>, исполнено 100%, из средств городского бюджета затрачено средств в сумме 2</w:t>
      </w:r>
      <w:r w:rsidR="00E86864" w:rsidRPr="00E86864">
        <w:t> </w:t>
      </w:r>
      <w:r w:rsidRPr="00E86864">
        <w:t>798</w:t>
      </w:r>
      <w:r w:rsidR="00E86864" w:rsidRPr="00E86864">
        <w:t>,0</w:t>
      </w:r>
      <w:r w:rsidRPr="00E86864">
        <w:t xml:space="preserve"> </w:t>
      </w:r>
      <w:proofErr w:type="spellStart"/>
      <w:r w:rsidR="00E86864" w:rsidRPr="00E86864">
        <w:t>тыс.руб</w:t>
      </w:r>
      <w:proofErr w:type="spellEnd"/>
      <w:r w:rsidR="00E86864" w:rsidRPr="00E86864">
        <w:t>.</w:t>
      </w:r>
      <w:r w:rsidRPr="00E86864">
        <w:t xml:space="preserve">, что составляет 99,9% от плана. </w:t>
      </w:r>
    </w:p>
    <w:p w:rsidR="00260717" w:rsidRPr="000B630F" w:rsidRDefault="00260717" w:rsidP="00260717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Был выполнен отлов </w:t>
      </w:r>
      <w:r w:rsidRPr="000B630F">
        <w:rPr>
          <w:sz w:val="24"/>
          <w:szCs w:val="24"/>
        </w:rPr>
        <w:t>безнадзорных и бродячих  животных с проведением ветеринарного осмотра, уничтожением путем усыпления в ветеринарной лечебнице и утилизацией в яме «Беккари». Оплата производилась согласно заключенным муниципальным контрактам.</w:t>
      </w:r>
    </w:p>
    <w:p w:rsidR="00A66974" w:rsidRPr="000B630F" w:rsidRDefault="00A66974" w:rsidP="00A66974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0B630F">
        <w:rPr>
          <w:bCs/>
          <w:sz w:val="24"/>
          <w:szCs w:val="24"/>
        </w:rPr>
        <w:t>В результате исполнения данного мероприятия выполн</w:t>
      </w:r>
      <w:r>
        <w:rPr>
          <w:bCs/>
          <w:sz w:val="24"/>
          <w:szCs w:val="24"/>
        </w:rPr>
        <w:t>яется</w:t>
      </w:r>
      <w:r w:rsidRPr="000B630F">
        <w:rPr>
          <w:bCs/>
          <w:sz w:val="24"/>
          <w:szCs w:val="24"/>
        </w:rPr>
        <w:t xml:space="preserve"> задача по регулированию численности безнадзорных и бродячих животных</w:t>
      </w:r>
      <w:r>
        <w:rPr>
          <w:bCs/>
          <w:sz w:val="24"/>
          <w:szCs w:val="24"/>
        </w:rPr>
        <w:t>.</w:t>
      </w:r>
    </w:p>
    <w:p w:rsidR="00E9180A" w:rsidRDefault="00E9180A" w:rsidP="00E9180A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A430BD">
        <w:rPr>
          <w:sz w:val="24"/>
          <w:szCs w:val="24"/>
        </w:rPr>
        <w:t xml:space="preserve">Результатами реализации </w:t>
      </w:r>
      <w:r>
        <w:rPr>
          <w:sz w:val="24"/>
          <w:szCs w:val="24"/>
        </w:rPr>
        <w:t>мероприятия 3</w:t>
      </w:r>
      <w:r w:rsidRPr="00A430BD">
        <w:rPr>
          <w:sz w:val="24"/>
          <w:szCs w:val="24"/>
        </w:rPr>
        <w:t xml:space="preserve"> в 201</w:t>
      </w:r>
      <w:r>
        <w:rPr>
          <w:sz w:val="24"/>
          <w:szCs w:val="24"/>
        </w:rPr>
        <w:t>6</w:t>
      </w:r>
      <w:r w:rsidRPr="00A430BD">
        <w:rPr>
          <w:sz w:val="24"/>
          <w:szCs w:val="24"/>
        </w:rPr>
        <w:t xml:space="preserve"> году стал</w:t>
      </w:r>
      <w:r>
        <w:rPr>
          <w:sz w:val="24"/>
          <w:szCs w:val="24"/>
        </w:rPr>
        <w:t>о выполнение следующего</w:t>
      </w:r>
      <w:r w:rsidRPr="00A430BD">
        <w:rPr>
          <w:sz w:val="24"/>
          <w:szCs w:val="24"/>
        </w:rPr>
        <w:t xml:space="preserve"> целев</w:t>
      </w:r>
      <w:r>
        <w:rPr>
          <w:sz w:val="24"/>
          <w:szCs w:val="24"/>
        </w:rPr>
        <w:t>ого</w:t>
      </w:r>
      <w:r w:rsidRPr="00A430BD">
        <w:rPr>
          <w:sz w:val="24"/>
          <w:szCs w:val="24"/>
        </w:rPr>
        <w:t xml:space="preserve"> показател</w:t>
      </w:r>
      <w:r>
        <w:rPr>
          <w:sz w:val="24"/>
          <w:szCs w:val="24"/>
        </w:rPr>
        <w:t>я</w:t>
      </w:r>
      <w:r w:rsidRPr="00A430BD">
        <w:rPr>
          <w:sz w:val="24"/>
          <w:szCs w:val="24"/>
        </w:rPr>
        <w:t>:</w:t>
      </w:r>
    </w:p>
    <w:p w:rsidR="00E9180A" w:rsidRPr="002C0596" w:rsidRDefault="002C0596" w:rsidP="003A7A1B">
      <w:pPr>
        <w:ind w:firstLine="540"/>
        <w:jc w:val="both"/>
        <w:rPr>
          <w:color w:val="0000FF"/>
        </w:rPr>
      </w:pPr>
      <w:r>
        <w:rPr>
          <w:lang w:eastAsia="en-US"/>
        </w:rPr>
        <w:t>6. К</w:t>
      </w:r>
      <w:r w:rsidR="00E9180A" w:rsidRPr="00E9180A">
        <w:rPr>
          <w:lang w:eastAsia="en-US"/>
        </w:rPr>
        <w:t xml:space="preserve">оличество отловленных безнадзорных  и бродячих животных – </w:t>
      </w:r>
      <w:r w:rsidR="00E9180A" w:rsidRPr="002C0596">
        <w:rPr>
          <w:color w:val="0000FF"/>
          <w:lang w:eastAsia="en-US"/>
        </w:rPr>
        <w:t>936.</w:t>
      </w:r>
    </w:p>
    <w:p w:rsidR="00260717" w:rsidRDefault="00260717" w:rsidP="00260717">
      <w:pPr>
        <w:ind w:firstLine="708"/>
        <w:jc w:val="both"/>
      </w:pPr>
    </w:p>
    <w:p w:rsidR="00260717" w:rsidRPr="007533EA" w:rsidRDefault="00260717" w:rsidP="00260717">
      <w:pPr>
        <w:ind w:firstLine="708"/>
        <w:jc w:val="both"/>
        <w:rPr>
          <w:b/>
        </w:rPr>
      </w:pPr>
    </w:p>
    <w:p w:rsidR="00260717" w:rsidRDefault="00260717" w:rsidP="00260717">
      <w:pPr>
        <w:jc w:val="both"/>
      </w:pPr>
    </w:p>
    <w:p w:rsidR="00260717" w:rsidRDefault="00260717" w:rsidP="00260717">
      <w:pPr>
        <w:jc w:val="both"/>
        <w:rPr>
          <w:b/>
        </w:rPr>
      </w:pPr>
      <w:r w:rsidRPr="00D35F5A">
        <w:rPr>
          <w:b/>
        </w:rPr>
        <w:t xml:space="preserve">Заместитель </w:t>
      </w:r>
      <w:r>
        <w:rPr>
          <w:b/>
        </w:rPr>
        <w:t>главы города-</w:t>
      </w:r>
    </w:p>
    <w:p w:rsidR="00260717" w:rsidRDefault="00260717" w:rsidP="00260717">
      <w:pPr>
        <w:jc w:val="both"/>
        <w:rPr>
          <w:b/>
        </w:rPr>
      </w:pPr>
      <w:r>
        <w:rPr>
          <w:b/>
        </w:rPr>
        <w:t>директор департамента жилищно-</w:t>
      </w:r>
    </w:p>
    <w:p w:rsidR="00260717" w:rsidRDefault="00260717" w:rsidP="00260717">
      <w:pPr>
        <w:jc w:val="both"/>
        <w:rPr>
          <w:b/>
        </w:rPr>
      </w:pPr>
      <w:r>
        <w:rPr>
          <w:b/>
        </w:rPr>
        <w:t xml:space="preserve">коммунального и строительного комплекса </w:t>
      </w:r>
      <w:r w:rsidRPr="00D35F5A">
        <w:rPr>
          <w:b/>
        </w:rPr>
        <w:tab/>
      </w:r>
      <w:r w:rsidRPr="00D35F5A">
        <w:rPr>
          <w:b/>
        </w:rPr>
        <w:tab/>
      </w:r>
      <w:r w:rsidRPr="00D35F5A">
        <w:rPr>
          <w:b/>
        </w:rPr>
        <w:tab/>
      </w:r>
      <w:r w:rsidRPr="00D35F5A">
        <w:rPr>
          <w:b/>
        </w:rPr>
        <w:tab/>
      </w:r>
      <w:r w:rsidRPr="00D35F5A">
        <w:rPr>
          <w:b/>
        </w:rPr>
        <w:tab/>
      </w:r>
      <w:r>
        <w:rPr>
          <w:b/>
        </w:rPr>
        <w:t xml:space="preserve">    В.К. Бандурин</w:t>
      </w:r>
    </w:p>
    <w:p w:rsidR="00260717" w:rsidRDefault="00260717" w:rsidP="00260717">
      <w:pPr>
        <w:jc w:val="both"/>
        <w:rPr>
          <w:b/>
        </w:rPr>
      </w:pPr>
    </w:p>
    <w:p w:rsidR="003348C2" w:rsidRDefault="003348C2" w:rsidP="00260717">
      <w:pPr>
        <w:rPr>
          <w:sz w:val="18"/>
          <w:szCs w:val="18"/>
        </w:rPr>
      </w:pPr>
      <w:r>
        <w:rPr>
          <w:sz w:val="18"/>
          <w:szCs w:val="18"/>
        </w:rPr>
        <w:t>и</w:t>
      </w:r>
      <w:r w:rsidR="00260717" w:rsidRPr="006A34BE">
        <w:rPr>
          <w:sz w:val="18"/>
          <w:szCs w:val="18"/>
        </w:rPr>
        <w:t>сп</w:t>
      </w:r>
      <w:r>
        <w:rPr>
          <w:sz w:val="18"/>
          <w:szCs w:val="18"/>
        </w:rPr>
        <w:t>олнитель:</w:t>
      </w:r>
    </w:p>
    <w:p w:rsidR="00260717" w:rsidRDefault="00E9180A" w:rsidP="00260717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ст.инспектор</w:t>
      </w:r>
      <w:proofErr w:type="spellEnd"/>
    </w:p>
    <w:p w:rsidR="00260717" w:rsidRPr="006A34BE" w:rsidRDefault="00260717" w:rsidP="00260717">
      <w:pPr>
        <w:rPr>
          <w:sz w:val="18"/>
          <w:szCs w:val="18"/>
        </w:rPr>
      </w:pPr>
      <w:r w:rsidRPr="006A34BE">
        <w:rPr>
          <w:sz w:val="18"/>
          <w:szCs w:val="18"/>
        </w:rPr>
        <w:t>Смолина Е</w:t>
      </w:r>
      <w:r>
        <w:rPr>
          <w:sz w:val="18"/>
          <w:szCs w:val="18"/>
        </w:rPr>
        <w:t>лена Александровна,</w:t>
      </w:r>
    </w:p>
    <w:p w:rsidR="002D7C80" w:rsidRDefault="00260717">
      <w:r w:rsidRPr="006A34BE">
        <w:rPr>
          <w:sz w:val="18"/>
          <w:szCs w:val="18"/>
        </w:rPr>
        <w:t>тел.</w:t>
      </w:r>
      <w:r>
        <w:rPr>
          <w:sz w:val="18"/>
          <w:szCs w:val="18"/>
        </w:rPr>
        <w:t xml:space="preserve">(34675) </w:t>
      </w:r>
      <w:r w:rsidRPr="006A34BE">
        <w:rPr>
          <w:sz w:val="18"/>
          <w:szCs w:val="18"/>
        </w:rPr>
        <w:t>7-0</w:t>
      </w:r>
      <w:r>
        <w:rPr>
          <w:sz w:val="18"/>
          <w:szCs w:val="18"/>
        </w:rPr>
        <w:t>3-</w:t>
      </w:r>
      <w:r w:rsidR="00E9180A">
        <w:rPr>
          <w:sz w:val="18"/>
          <w:szCs w:val="18"/>
        </w:rPr>
        <w:t>25.</w:t>
      </w:r>
    </w:p>
    <w:sectPr w:rsidR="002D7C80" w:rsidSect="006E4CA7">
      <w:footerReference w:type="default" r:id="rId8"/>
      <w:pgSz w:w="11906" w:h="16838" w:code="9"/>
      <w:pgMar w:top="567" w:right="851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875" w:rsidRDefault="00806875">
      <w:r>
        <w:separator/>
      </w:r>
    </w:p>
  </w:endnote>
  <w:endnote w:type="continuationSeparator" w:id="0">
    <w:p w:rsidR="00806875" w:rsidRDefault="0080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A7" w:rsidRPr="006E4CA7" w:rsidRDefault="00C46227">
    <w:pPr>
      <w:pStyle w:val="a3"/>
      <w:jc w:val="center"/>
      <w:rPr>
        <w:sz w:val="16"/>
        <w:szCs w:val="16"/>
      </w:rPr>
    </w:pPr>
    <w:r w:rsidRPr="006E4CA7">
      <w:rPr>
        <w:sz w:val="16"/>
        <w:szCs w:val="16"/>
      </w:rPr>
      <w:fldChar w:fldCharType="begin"/>
    </w:r>
    <w:r w:rsidRPr="006E4CA7">
      <w:rPr>
        <w:sz w:val="16"/>
        <w:szCs w:val="16"/>
      </w:rPr>
      <w:instrText>PAGE   \* MERGEFORMAT</w:instrText>
    </w:r>
    <w:r w:rsidRPr="006E4CA7">
      <w:rPr>
        <w:sz w:val="16"/>
        <w:szCs w:val="16"/>
      </w:rPr>
      <w:fldChar w:fldCharType="separate"/>
    </w:r>
    <w:r w:rsidR="00AE7F91">
      <w:rPr>
        <w:noProof/>
        <w:sz w:val="16"/>
        <w:szCs w:val="16"/>
      </w:rPr>
      <w:t>4</w:t>
    </w:r>
    <w:r w:rsidRPr="006E4CA7">
      <w:rPr>
        <w:sz w:val="16"/>
        <w:szCs w:val="16"/>
      </w:rPr>
      <w:fldChar w:fldCharType="end"/>
    </w:r>
  </w:p>
  <w:p w:rsidR="006E4CA7" w:rsidRDefault="008068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875" w:rsidRDefault="00806875">
      <w:r>
        <w:separator/>
      </w:r>
    </w:p>
  </w:footnote>
  <w:footnote w:type="continuationSeparator" w:id="0">
    <w:p w:rsidR="00806875" w:rsidRDefault="0080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309C5"/>
    <w:multiLevelType w:val="hybridMultilevel"/>
    <w:tmpl w:val="3D3A2450"/>
    <w:lvl w:ilvl="0" w:tplc="0422D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0E7CA6"/>
    <w:multiLevelType w:val="hybridMultilevel"/>
    <w:tmpl w:val="2750AB00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8"/>
    <w:rsid w:val="00003A3E"/>
    <w:rsid w:val="00003D44"/>
    <w:rsid w:val="000056DF"/>
    <w:rsid w:val="000332FD"/>
    <w:rsid w:val="0005208B"/>
    <w:rsid w:val="00055FA0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5908"/>
    <w:rsid w:val="00240B2A"/>
    <w:rsid w:val="002518DE"/>
    <w:rsid w:val="00253323"/>
    <w:rsid w:val="00260717"/>
    <w:rsid w:val="00263D1E"/>
    <w:rsid w:val="00272DE7"/>
    <w:rsid w:val="00273094"/>
    <w:rsid w:val="00273212"/>
    <w:rsid w:val="00273EE7"/>
    <w:rsid w:val="00281268"/>
    <w:rsid w:val="0029145D"/>
    <w:rsid w:val="00297889"/>
    <w:rsid w:val="002A21A6"/>
    <w:rsid w:val="002A4AE2"/>
    <w:rsid w:val="002B7FBC"/>
    <w:rsid w:val="002C0596"/>
    <w:rsid w:val="002C4ED1"/>
    <w:rsid w:val="002D625D"/>
    <w:rsid w:val="002D7A9C"/>
    <w:rsid w:val="002D7C80"/>
    <w:rsid w:val="002E0CFA"/>
    <w:rsid w:val="002E2986"/>
    <w:rsid w:val="002E419D"/>
    <w:rsid w:val="002E4924"/>
    <w:rsid w:val="002E6187"/>
    <w:rsid w:val="002F2F2A"/>
    <w:rsid w:val="002F5500"/>
    <w:rsid w:val="0031491C"/>
    <w:rsid w:val="00315763"/>
    <w:rsid w:val="003172E2"/>
    <w:rsid w:val="003214DD"/>
    <w:rsid w:val="003303EE"/>
    <w:rsid w:val="00330CB9"/>
    <w:rsid w:val="003348C2"/>
    <w:rsid w:val="00336FA7"/>
    <w:rsid w:val="00341670"/>
    <w:rsid w:val="00343354"/>
    <w:rsid w:val="00344456"/>
    <w:rsid w:val="00351E8D"/>
    <w:rsid w:val="003520C0"/>
    <w:rsid w:val="0035400B"/>
    <w:rsid w:val="00365B05"/>
    <w:rsid w:val="00371C9B"/>
    <w:rsid w:val="0037498A"/>
    <w:rsid w:val="003817A5"/>
    <w:rsid w:val="003A4DCB"/>
    <w:rsid w:val="003A7A1B"/>
    <w:rsid w:val="003B213B"/>
    <w:rsid w:val="003D35D7"/>
    <w:rsid w:val="003F1DC9"/>
    <w:rsid w:val="00401730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78CE"/>
    <w:rsid w:val="0047452A"/>
    <w:rsid w:val="00474A37"/>
    <w:rsid w:val="00476218"/>
    <w:rsid w:val="00484E02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11CFC"/>
    <w:rsid w:val="00521F0F"/>
    <w:rsid w:val="00522DEB"/>
    <w:rsid w:val="0052743D"/>
    <w:rsid w:val="00547161"/>
    <w:rsid w:val="005550BE"/>
    <w:rsid w:val="00556176"/>
    <w:rsid w:val="0058065D"/>
    <w:rsid w:val="00582F55"/>
    <w:rsid w:val="005866CA"/>
    <w:rsid w:val="005A3513"/>
    <w:rsid w:val="005D7657"/>
    <w:rsid w:val="005F5253"/>
    <w:rsid w:val="00604ED0"/>
    <w:rsid w:val="006076AC"/>
    <w:rsid w:val="00625840"/>
    <w:rsid w:val="00634D47"/>
    <w:rsid w:val="00645E7A"/>
    <w:rsid w:val="0064649F"/>
    <w:rsid w:val="00663671"/>
    <w:rsid w:val="00667D8B"/>
    <w:rsid w:val="00672823"/>
    <w:rsid w:val="00676759"/>
    <w:rsid w:val="006846D1"/>
    <w:rsid w:val="006A6700"/>
    <w:rsid w:val="006A713D"/>
    <w:rsid w:val="006B0A8A"/>
    <w:rsid w:val="006B65F3"/>
    <w:rsid w:val="006C02A3"/>
    <w:rsid w:val="006E4734"/>
    <w:rsid w:val="006E5004"/>
    <w:rsid w:val="00701511"/>
    <w:rsid w:val="00704610"/>
    <w:rsid w:val="00722DEA"/>
    <w:rsid w:val="00730B4C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803347"/>
    <w:rsid w:val="00806875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262D"/>
    <w:rsid w:val="00884C7B"/>
    <w:rsid w:val="0088608F"/>
    <w:rsid w:val="00896310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25774"/>
    <w:rsid w:val="00926F58"/>
    <w:rsid w:val="0092725C"/>
    <w:rsid w:val="00932BA2"/>
    <w:rsid w:val="00936DFE"/>
    <w:rsid w:val="009402A9"/>
    <w:rsid w:val="00957519"/>
    <w:rsid w:val="00975B7A"/>
    <w:rsid w:val="009764E8"/>
    <w:rsid w:val="009823CE"/>
    <w:rsid w:val="00991B50"/>
    <w:rsid w:val="009B1404"/>
    <w:rsid w:val="009B6810"/>
    <w:rsid w:val="009E409E"/>
    <w:rsid w:val="009E5FBA"/>
    <w:rsid w:val="009F2F28"/>
    <w:rsid w:val="00A22F74"/>
    <w:rsid w:val="00A24E03"/>
    <w:rsid w:val="00A30F1B"/>
    <w:rsid w:val="00A420F5"/>
    <w:rsid w:val="00A430BD"/>
    <w:rsid w:val="00A47E2A"/>
    <w:rsid w:val="00A5368C"/>
    <w:rsid w:val="00A5682B"/>
    <w:rsid w:val="00A66974"/>
    <w:rsid w:val="00A66C76"/>
    <w:rsid w:val="00A95348"/>
    <w:rsid w:val="00AA2A7D"/>
    <w:rsid w:val="00AB474B"/>
    <w:rsid w:val="00AC06B9"/>
    <w:rsid w:val="00AC3289"/>
    <w:rsid w:val="00AC576A"/>
    <w:rsid w:val="00AD03F4"/>
    <w:rsid w:val="00AE7F91"/>
    <w:rsid w:val="00AF4DEC"/>
    <w:rsid w:val="00B02863"/>
    <w:rsid w:val="00B02B03"/>
    <w:rsid w:val="00B04654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76B6A"/>
    <w:rsid w:val="00B808CC"/>
    <w:rsid w:val="00BA7A0A"/>
    <w:rsid w:val="00BC2EAB"/>
    <w:rsid w:val="00BD6752"/>
    <w:rsid w:val="00BE7C12"/>
    <w:rsid w:val="00BF5519"/>
    <w:rsid w:val="00BF5C55"/>
    <w:rsid w:val="00C02384"/>
    <w:rsid w:val="00C13CB3"/>
    <w:rsid w:val="00C173EB"/>
    <w:rsid w:val="00C23FD3"/>
    <w:rsid w:val="00C30547"/>
    <w:rsid w:val="00C46227"/>
    <w:rsid w:val="00C47863"/>
    <w:rsid w:val="00C503E2"/>
    <w:rsid w:val="00C91B49"/>
    <w:rsid w:val="00C93CC8"/>
    <w:rsid w:val="00C9563B"/>
    <w:rsid w:val="00C958B2"/>
    <w:rsid w:val="00CA0A67"/>
    <w:rsid w:val="00CA2AF2"/>
    <w:rsid w:val="00CA2E05"/>
    <w:rsid w:val="00CA7178"/>
    <w:rsid w:val="00CA785C"/>
    <w:rsid w:val="00CB18B2"/>
    <w:rsid w:val="00CB3371"/>
    <w:rsid w:val="00CB3BBA"/>
    <w:rsid w:val="00CC0EFC"/>
    <w:rsid w:val="00CC2BEC"/>
    <w:rsid w:val="00CE3454"/>
    <w:rsid w:val="00CE5F8E"/>
    <w:rsid w:val="00CE6F49"/>
    <w:rsid w:val="00CF369F"/>
    <w:rsid w:val="00CF4CEB"/>
    <w:rsid w:val="00D15078"/>
    <w:rsid w:val="00D2336E"/>
    <w:rsid w:val="00D54CAF"/>
    <w:rsid w:val="00D70174"/>
    <w:rsid w:val="00D7051C"/>
    <w:rsid w:val="00D85445"/>
    <w:rsid w:val="00D90572"/>
    <w:rsid w:val="00DA0D18"/>
    <w:rsid w:val="00DB1D25"/>
    <w:rsid w:val="00DB21CF"/>
    <w:rsid w:val="00DB2D74"/>
    <w:rsid w:val="00DD3A95"/>
    <w:rsid w:val="00DD4D0A"/>
    <w:rsid w:val="00DE409E"/>
    <w:rsid w:val="00DE49A1"/>
    <w:rsid w:val="00DE60C9"/>
    <w:rsid w:val="00DF1C66"/>
    <w:rsid w:val="00DF4CCE"/>
    <w:rsid w:val="00DF6A06"/>
    <w:rsid w:val="00E003D8"/>
    <w:rsid w:val="00E3524B"/>
    <w:rsid w:val="00E41CA9"/>
    <w:rsid w:val="00E447B8"/>
    <w:rsid w:val="00E64BDE"/>
    <w:rsid w:val="00E70099"/>
    <w:rsid w:val="00E75646"/>
    <w:rsid w:val="00E7718B"/>
    <w:rsid w:val="00E77985"/>
    <w:rsid w:val="00E81852"/>
    <w:rsid w:val="00E86864"/>
    <w:rsid w:val="00E9180A"/>
    <w:rsid w:val="00E922BB"/>
    <w:rsid w:val="00EC0D03"/>
    <w:rsid w:val="00EC415B"/>
    <w:rsid w:val="00EC592E"/>
    <w:rsid w:val="00ED4031"/>
    <w:rsid w:val="00ED7E7C"/>
    <w:rsid w:val="00EE1856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0164"/>
    <w:rsid w:val="00F372D5"/>
    <w:rsid w:val="00F55BCC"/>
    <w:rsid w:val="00F572F4"/>
    <w:rsid w:val="00F60DB0"/>
    <w:rsid w:val="00F76042"/>
    <w:rsid w:val="00F77F2C"/>
    <w:rsid w:val="00F81457"/>
    <w:rsid w:val="00F90DB0"/>
    <w:rsid w:val="00F91D23"/>
    <w:rsid w:val="00FA3269"/>
    <w:rsid w:val="00FA503B"/>
    <w:rsid w:val="00FB522E"/>
    <w:rsid w:val="00FC142F"/>
    <w:rsid w:val="00FC5FCF"/>
    <w:rsid w:val="00FC6A34"/>
    <w:rsid w:val="00FE2696"/>
    <w:rsid w:val="00FE4181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07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60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0717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rsid w:val="00A430B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uiPriority w:val="99"/>
    <w:rsid w:val="009402A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B046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6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07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60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0717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rsid w:val="00A430B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uiPriority w:val="99"/>
    <w:rsid w:val="009402A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B046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6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3405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6</cp:revision>
  <cp:lastPrinted>2017-03-10T10:41:00Z</cp:lastPrinted>
  <dcterms:created xsi:type="dcterms:W3CDTF">2017-02-10T07:46:00Z</dcterms:created>
  <dcterms:modified xsi:type="dcterms:W3CDTF">2017-03-10T10:43:00Z</dcterms:modified>
</cp:coreProperties>
</file>