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Форма для заполнения кандидатур участников в ходе проведения вебинаров проекта «Цифровой атташе»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4353"/>
        <w:gridCol w:w="2478"/>
        <w:gridCol w:w="2478"/>
        <w:gridCol w:w="2478"/>
        <w:gridCol w:w="2478"/>
      </w:tblGrid>
      <w:tr>
        <w:tblPrEx/>
        <w:trPr>
          <w:trHeight w:val="936"/>
        </w:trPr>
        <w:tc>
          <w:tcPr>
            <w:tcW w:w="6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Наименование муниципального образования Ханты-Мансийского автономного округа – Югры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Сфера деятельности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Тематика вебинара, </w:t>
              <w:br/>
              <w:t xml:space="preserve">в котором запланировано участие специалистов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Контакт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ная информация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(ФИО, должность, контакты)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2"/>
        </w:trPr>
        <w:tc>
          <w:tcPr>
            <w:tcW w:w="6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3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2"/>
        </w:trPr>
        <w:tc>
          <w:tcPr>
            <w:tcW w:w="6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3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2"/>
        </w:trPr>
        <w:tc>
          <w:tcPr>
            <w:tcW w:w="6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3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2024-05-13T13:22:53Z</dcterms:modified>
</cp:coreProperties>
</file>